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3FA74D" w14:textId="77777777" w:rsidR="00670503" w:rsidRDefault="00D46042">
      <w:pPr>
        <w:pStyle w:val="Corpsdetexte"/>
        <w:ind w:right="280"/>
        <w:rPr>
          <w:rFonts w:eastAsia="Lymphatic-Bold;Arial"/>
        </w:rPr>
      </w:pPr>
      <w:r>
        <w:rPr>
          <w:rFonts w:eastAsia="Lymphatic-Bold;Arial"/>
        </w:rPr>
        <w:t xml:space="preserve"> </w:t>
      </w:r>
    </w:p>
    <w:p w14:paraId="2E01FF01" w14:textId="77777777" w:rsidR="00670503" w:rsidRPr="0037283C" w:rsidRDefault="00D46042">
      <w:pPr>
        <w:pStyle w:val="Corpsdetexte"/>
        <w:ind w:right="280"/>
        <w:rPr>
          <w:rFonts w:ascii="Marianne" w:hAnsi="Marianne"/>
        </w:rPr>
      </w:pPr>
      <w:r w:rsidRPr="0037283C">
        <w:rPr>
          <w:rFonts w:ascii="Marianne" w:hAnsi="Marianne"/>
        </w:rPr>
        <w:t>CALENDRIER DES SÉANCES DU CONSEIL SUPÉRIEUR</w:t>
      </w:r>
    </w:p>
    <w:p w14:paraId="1DA08E86" w14:textId="77777777" w:rsidR="00670503" w:rsidRPr="0037283C" w:rsidRDefault="00D46042">
      <w:pPr>
        <w:pStyle w:val="Corpsdetexte"/>
        <w:ind w:right="280"/>
        <w:rPr>
          <w:rFonts w:ascii="Marianne" w:hAnsi="Marianne"/>
        </w:rPr>
      </w:pPr>
      <w:r w:rsidRPr="0037283C">
        <w:rPr>
          <w:rFonts w:ascii="Marianne" w:hAnsi="Marianne"/>
        </w:rPr>
        <w:t>DE LA PRÉVENTION DES RISQUES TECHNOLOGIQUES 2026</w:t>
      </w:r>
    </w:p>
    <w:p w14:paraId="33887742" w14:textId="77777777" w:rsidR="00670503" w:rsidRPr="0037283C" w:rsidRDefault="00670503">
      <w:pPr>
        <w:pStyle w:val="Corpsdetexte"/>
        <w:ind w:right="280"/>
        <w:rPr>
          <w:rFonts w:ascii="Marianne" w:hAnsi="Marianne"/>
        </w:rPr>
      </w:pPr>
    </w:p>
    <w:tbl>
      <w:tblPr>
        <w:tblW w:w="8527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7"/>
      </w:tblGrid>
      <w:tr w:rsidR="00670503" w:rsidRPr="0037283C" w14:paraId="4F6693A7" w14:textId="77777777">
        <w:trPr>
          <w:trHeight w:val="704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553EAE2" w14:textId="77777777" w:rsidR="00670503" w:rsidRPr="0037283C" w:rsidRDefault="00D46042">
            <w:pPr>
              <w:snapToGrid w:val="0"/>
              <w:ind w:right="280"/>
              <w:jc w:val="center"/>
              <w:rPr>
                <w:rFonts w:ascii="Marianne" w:hAnsi="Marianne"/>
                <w:b/>
                <w:bCs/>
                <w:sz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</w:rPr>
              <w:t>Séances CSPRT</w:t>
            </w:r>
          </w:p>
        </w:tc>
      </w:tr>
      <w:tr w:rsidR="00670503" w:rsidRPr="0037283C" w14:paraId="5B942DE5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3B464F" w14:textId="54109FC7" w:rsidR="00670503" w:rsidRPr="0037283C" w:rsidRDefault="00D46042">
            <w:pPr>
              <w:pStyle w:val="Titre3"/>
              <w:numPr>
                <w:ilvl w:val="0"/>
                <w:numId w:val="0"/>
              </w:numPr>
              <w:ind w:right="280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 xml:space="preserve">Mardi 13 janvier </w:t>
            </w:r>
            <w:r w:rsidR="0037283C" w:rsidRPr="0037283C">
              <w:rPr>
                <w:rFonts w:ascii="Marianne" w:hAnsi="Marianne"/>
                <w:sz w:val="22"/>
                <w:szCs w:val="22"/>
              </w:rPr>
              <w:t>- ANNULEE</w:t>
            </w:r>
          </w:p>
          <w:p w14:paraId="560519F7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32 A</w:t>
            </w:r>
          </w:p>
          <w:p w14:paraId="1CC20DB2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3CE35A4D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B187ED" w14:textId="6FAB1A74" w:rsidR="00670503" w:rsidRPr="0037283C" w:rsidRDefault="00D46042">
            <w:pPr>
              <w:pStyle w:val="Titre3"/>
              <w:numPr>
                <w:ilvl w:val="0"/>
                <w:numId w:val="0"/>
              </w:numPr>
              <w:ind w:right="280"/>
              <w:rPr>
                <w:rFonts w:ascii="Marianne" w:hAnsi="Marianne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Mardi 3 février</w:t>
            </w:r>
          </w:p>
          <w:p w14:paraId="5BB871DA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R1A</w:t>
            </w:r>
          </w:p>
          <w:p w14:paraId="4DF4A178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717359CD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0C106A" w14:textId="77777777" w:rsidR="00670503" w:rsidRPr="0037283C" w:rsidRDefault="00D46042">
            <w:pPr>
              <w:pStyle w:val="Titre3"/>
              <w:numPr>
                <w:ilvl w:val="0"/>
                <w:numId w:val="0"/>
              </w:numPr>
              <w:ind w:right="280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Mardi 17 mars</w:t>
            </w:r>
          </w:p>
          <w:p w14:paraId="5EDEA78B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32 A</w:t>
            </w:r>
          </w:p>
          <w:p w14:paraId="1ECE7536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1D565495" w14:textId="77777777">
        <w:trPr>
          <w:trHeight w:val="544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38AD1F" w14:textId="77777777" w:rsidR="00670503" w:rsidRPr="0037283C" w:rsidRDefault="00D46042">
            <w:pPr>
              <w:pStyle w:val="Titre3"/>
              <w:numPr>
                <w:ilvl w:val="0"/>
                <w:numId w:val="0"/>
              </w:numPr>
              <w:ind w:right="280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Avril – Pas de séance</w:t>
            </w:r>
          </w:p>
        </w:tc>
      </w:tr>
      <w:tr w:rsidR="00670503" w:rsidRPr="0037283C" w14:paraId="19FD2796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F79533" w14:textId="77777777" w:rsidR="00670503" w:rsidRPr="0037283C" w:rsidRDefault="00D46042">
            <w:pPr>
              <w:pStyle w:val="Titre3"/>
              <w:numPr>
                <w:ilvl w:val="0"/>
                <w:numId w:val="0"/>
              </w:numPr>
              <w:ind w:right="280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Mardi 12 mai</w:t>
            </w:r>
          </w:p>
          <w:p w14:paraId="1C237A6E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32 A</w:t>
            </w:r>
          </w:p>
          <w:p w14:paraId="181C8A95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09A9EC48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FE45479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  <w:szCs w:val="22"/>
              </w:rPr>
              <w:t>Mardi 16 juin</w:t>
            </w:r>
          </w:p>
          <w:p w14:paraId="15897B87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R1A</w:t>
            </w:r>
          </w:p>
          <w:p w14:paraId="5654AE27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0B737A5E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DA3F07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  <w:szCs w:val="22"/>
              </w:rPr>
              <w:t>Mardi 15 septembre</w:t>
            </w:r>
          </w:p>
          <w:p w14:paraId="0DB0C437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</w:rPr>
            </w:pPr>
            <w:r w:rsidRPr="0037283C">
              <w:rPr>
                <w:rFonts w:ascii="Marianne" w:hAnsi="Marianne"/>
              </w:rPr>
              <w:t>TS 32A</w:t>
            </w:r>
          </w:p>
          <w:p w14:paraId="51642F32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31088829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2A1C85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  <w:szCs w:val="22"/>
              </w:rPr>
              <w:t>Mardi 13 octobre</w:t>
            </w:r>
          </w:p>
          <w:p w14:paraId="3295193F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R1A</w:t>
            </w:r>
          </w:p>
          <w:p w14:paraId="1CF65430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58A6EC9B" w14:textId="77777777"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5C54C1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  <w:szCs w:val="22"/>
              </w:rPr>
              <w:t>Mardi 17 novembre</w:t>
            </w:r>
          </w:p>
          <w:p w14:paraId="042C2B03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sz w:val="22"/>
                <w:szCs w:val="22"/>
              </w:rPr>
            </w:pPr>
            <w:r w:rsidRPr="0037283C">
              <w:rPr>
                <w:rFonts w:ascii="Marianne" w:hAnsi="Marianne"/>
                <w:sz w:val="22"/>
                <w:szCs w:val="22"/>
              </w:rPr>
              <w:t>TS 32 A</w:t>
            </w:r>
          </w:p>
          <w:p w14:paraId="2D7ABCBA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</w:tr>
      <w:tr w:rsidR="00670503" w:rsidRPr="0037283C" w14:paraId="5B868148" w14:textId="77777777">
        <w:trPr>
          <w:trHeight w:val="511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CFE9A0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/>
                <w:bCs/>
                <w:sz w:val="22"/>
                <w:szCs w:val="22"/>
              </w:rPr>
              <w:t>Mardi 15 décembre</w:t>
            </w:r>
          </w:p>
          <w:p w14:paraId="41426782" w14:textId="77777777" w:rsidR="00670503" w:rsidRPr="0037283C" w:rsidRDefault="00D46042">
            <w:pPr>
              <w:ind w:right="280"/>
              <w:jc w:val="center"/>
              <w:rPr>
                <w:rFonts w:ascii="Marianne" w:hAnsi="Marianne"/>
                <w:bCs/>
                <w:sz w:val="22"/>
                <w:szCs w:val="22"/>
              </w:rPr>
            </w:pPr>
            <w:r w:rsidRPr="0037283C">
              <w:rPr>
                <w:rFonts w:ascii="Marianne" w:hAnsi="Marianne"/>
                <w:bCs/>
                <w:sz w:val="22"/>
                <w:szCs w:val="22"/>
              </w:rPr>
              <w:t>TS R1A</w:t>
            </w:r>
          </w:p>
          <w:p w14:paraId="2B89AB89" w14:textId="77777777" w:rsidR="00670503" w:rsidRPr="0037283C" w:rsidRDefault="00670503">
            <w:pPr>
              <w:ind w:right="280"/>
              <w:jc w:val="center"/>
              <w:rPr>
                <w:rFonts w:ascii="Marianne" w:hAnsi="Marianne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1A912E" w14:textId="77777777" w:rsidR="00670503" w:rsidRDefault="00670503">
      <w:pPr>
        <w:pStyle w:val="Index"/>
        <w:ind w:right="280"/>
        <w:jc w:val="center"/>
      </w:pPr>
    </w:p>
    <w:sectPr w:rsidR="00670503">
      <w:pgSz w:w="11906" w:h="16838"/>
      <w:pgMar w:top="1418" w:right="851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ymphatic-Bold;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D767C"/>
    <w:multiLevelType w:val="multilevel"/>
    <w:tmpl w:val="8002734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03"/>
    <w:rsid w:val="0037283C"/>
    <w:rsid w:val="00670503"/>
    <w:rsid w:val="00D4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7079"/>
  <w15:docId w15:val="{6A2CD2D1-507A-4FB3-A2C2-6F06ED2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sz w:val="32"/>
      <w:u w:val="single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snapToGrid w:val="0"/>
      <w:jc w:val="center"/>
      <w:outlineLvl w:val="4"/>
    </w:pPr>
    <w:rPr>
      <w:sz w:val="22"/>
      <w:u w:val="singl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1">
    <w:name w:val="Police par défaut1"/>
    <w:qFormat/>
  </w:style>
  <w:style w:type="character" w:customStyle="1" w:styleId="WW-Policepardfaut">
    <w:name w:val="WW-Police par défaut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Policepardfaut1">
    <w:name w:val="WW-Police par défaut1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Lymphatic-Bold;Arial" w:hAnsi="Lymphatic-Bold;Arial" w:cs="Lymphatic-Bold;Arial"/>
      <w:b/>
      <w:bCs/>
      <w:sz w:val="32"/>
    </w:rPr>
  </w:style>
  <w:style w:type="paragraph" w:styleId="Liste">
    <w:name w:val="List"/>
    <w:basedOn w:val="Corpsdetexte"/>
    <w:rPr>
      <w:rFonts w:ascii="Liberation Sans;Arial" w:hAnsi="Liberation Sans;Arial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;Arial" w:hAnsi="Liberation Sans;Arial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MS Mincho;ＭＳ 明朝" w:hAnsi="Liberation Sans;Arial" w:cs="Tahoma"/>
      <w:sz w:val="28"/>
      <w:szCs w:val="28"/>
    </w:rPr>
  </w:style>
  <w:style w:type="paragraph" w:customStyle="1" w:styleId="WW-Titre">
    <w:name w:val="WW-Titre"/>
    <w:basedOn w:val="Normal"/>
    <w:next w:val="Corpsdetexte"/>
    <w:qFormat/>
    <w:pPr>
      <w:keepNext/>
      <w:spacing w:before="240" w:after="120"/>
    </w:pPr>
    <w:rPr>
      <w:rFonts w:ascii="Liberation Sans;Arial" w:eastAsia="MS Mincho;ＭＳ 明朝" w:hAnsi="Liberation Sans;Arial" w:cs="Tahoma"/>
      <w:sz w:val="28"/>
      <w:szCs w:val="28"/>
    </w:rPr>
  </w:style>
  <w:style w:type="paragraph" w:styleId="Sous-titre">
    <w:name w:val="Subtitle"/>
    <w:basedOn w:val="Titre10"/>
    <w:next w:val="Corpsdetexte"/>
    <w:uiPriority w:val="11"/>
    <w:qFormat/>
    <w:pPr>
      <w:jc w:val="center"/>
    </w:pPr>
    <w:rPr>
      <w:i/>
      <w:i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SÉANCES DU CONSEIL SUPÉRIEUR DES INSTALLATIONS CLASSÉES ET DES RÉUNIONS PRÉPARATOIRES POUR LE SECOND SEMESTRE 2</dc:title>
  <dc:subject/>
  <dc:creator>FLORENSI</dc:creator>
  <dc:description/>
  <cp:lastModifiedBy>Murielle Elisée</cp:lastModifiedBy>
  <cp:revision>2</cp:revision>
  <dcterms:created xsi:type="dcterms:W3CDTF">2026-01-26T14:30:00Z</dcterms:created>
  <dcterms:modified xsi:type="dcterms:W3CDTF">2026-01-26T14:30:00Z</dcterms:modified>
  <dc:language>fr-FR</dc:language>
</cp:coreProperties>
</file>