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88209" w14:textId="19A51330" w:rsidR="00350CA5" w:rsidRDefault="00350CA5" w:rsidP="00C67A24">
      <w:pPr>
        <w:pStyle w:val="Sous-titre"/>
        <w:rPr>
          <w:rFonts w:ascii="Marianne" w:eastAsiaTheme="minorHAnsi" w:hAnsi="Marianne"/>
          <w:color w:val="auto"/>
          <w:spacing w:val="0"/>
        </w:rPr>
      </w:pPr>
    </w:p>
    <w:p w14:paraId="714BCC5B" w14:textId="305C58AF" w:rsidR="00C44F2A" w:rsidRDefault="00C44F2A" w:rsidP="00C67A24">
      <w:pPr>
        <w:pStyle w:val="Sous-titre"/>
        <w:rPr>
          <w:rFonts w:ascii="Marianne" w:eastAsiaTheme="minorHAnsi" w:hAnsi="Marianne"/>
          <w:color w:val="auto"/>
          <w:spacing w:val="0"/>
        </w:rPr>
      </w:pPr>
    </w:p>
    <w:sdt>
      <w:sdtPr>
        <w:rPr>
          <w:rFonts w:ascii="Marianne" w:eastAsiaTheme="minorHAnsi" w:hAnsi="Marianne"/>
          <w:color w:val="auto"/>
          <w:spacing w:val="0"/>
        </w:rPr>
        <w:id w:val="1010334428"/>
        <w:docPartObj>
          <w:docPartGallery w:val="Cover Pages"/>
          <w:docPartUnique/>
        </w:docPartObj>
      </w:sdtPr>
      <w:sdtEndPr>
        <w:rPr>
          <w:rFonts w:cs="Times New Roman"/>
          <w:bCs/>
        </w:rPr>
      </w:sdtEndPr>
      <w:sdtContent>
        <w:p w14:paraId="4DA7FFE5" w14:textId="549B9FBC" w:rsidR="00C67A24" w:rsidRPr="00177649" w:rsidRDefault="00C67A24" w:rsidP="00C67A24">
          <w:pPr>
            <w:pStyle w:val="Sous-titre"/>
            <w:rPr>
              <w:rFonts w:ascii="Marianne" w:hAnsi="Marianne"/>
            </w:rPr>
          </w:pPr>
          <w:r w:rsidRPr="00177649">
            <w:rPr>
              <w:rFonts w:ascii="Marianne" w:hAnsi="Marianne"/>
              <w:noProof/>
              <w:lang w:eastAsia="fr-FR"/>
            </w:rPr>
            <mc:AlternateContent>
              <mc:Choice Requires="wpg">
                <w:drawing>
                  <wp:anchor distT="0" distB="0" distL="114300" distR="114300" simplePos="0" relativeHeight="251659264" behindDoc="1" locked="0" layoutInCell="1" allowOverlap="1" wp14:anchorId="321437FC" wp14:editId="0DC412AC">
                    <wp:simplePos x="0" y="0"/>
                    <wp:positionH relativeFrom="page">
                      <wp:posOffset>350322</wp:posOffset>
                    </wp:positionH>
                    <wp:positionV relativeFrom="page">
                      <wp:posOffset>486888</wp:posOffset>
                    </wp:positionV>
                    <wp:extent cx="6858000" cy="9476509"/>
                    <wp:effectExtent l="0" t="0" r="0" b="0"/>
                    <wp:wrapNone/>
                    <wp:docPr id="193" name="Groupe 193"/>
                    <wp:cNvGraphicFramePr/>
                    <a:graphic xmlns:a="http://schemas.openxmlformats.org/drawingml/2006/main">
                      <a:graphicData uri="http://schemas.microsoft.com/office/word/2010/wordprocessingGroup">
                        <wpg:wgp>
                          <wpg:cNvGrpSpPr/>
                          <wpg:grpSpPr>
                            <a:xfrm>
                              <a:off x="0" y="0"/>
                              <a:ext cx="6858000" cy="9476509"/>
                              <a:chOff x="0" y="0"/>
                              <a:chExt cx="6858000"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70E2A2" w14:textId="6666EE7F" w:rsidR="00B67CBB" w:rsidRPr="00B67CBB" w:rsidRDefault="00B67CBB" w:rsidP="00B67CBB">
                                  <w:pPr>
                                    <w:pStyle w:val="Sansinterligne"/>
                                    <w:spacing w:before="120"/>
                                    <w:jc w:val="center"/>
                                    <w:rPr>
                                      <w:rFonts w:eastAsiaTheme="minorHAnsi"/>
                                      <w:color w:val="FFFFFF" w:themeColor="background1"/>
                                      <w:lang w:eastAsia="en-US"/>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Zone de texte 196"/>
                            <wps:cNvSpPr txBox="1"/>
                            <wps:spPr>
                              <a:xfrm>
                                <a:off x="6625" y="1453086"/>
                                <a:ext cx="6850802" cy="292013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B99BF" w14:textId="77777777" w:rsidR="00C67A24" w:rsidRDefault="00C67A24" w:rsidP="00C67A24">
                                  <w:pPr>
                                    <w:pStyle w:val="Sansinterligne"/>
                                    <w:jc w:val="center"/>
                                    <w:rPr>
                                      <w:noProof/>
                                    </w:rPr>
                                  </w:pPr>
                                  <w:r>
                                    <w:rPr>
                                      <w:noProof/>
                                    </w:rPr>
                                    <w:t xml:space="preserve">   </w:t>
                                  </w:r>
                                  <w:r>
                                    <w:rPr>
                                      <w:noProof/>
                                    </w:rPr>
                                    <w:drawing>
                                      <wp:inline distT="0" distB="0" distL="0" distR="0" wp14:anchorId="2A09A659" wp14:editId="4F3F6239">
                                        <wp:extent cx="1634067" cy="636105"/>
                                        <wp:effectExtent l="0" t="0" r="4445" b="0"/>
                                        <wp:docPr id="5" name="Image 5" descr="L:\Economies d'energie\CEE\Statistiques - communication\Logo CEE\logo_CE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conomies d'energie\CEE\Statistiques - communication\Logo CEE\logo_CEE 20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7804" cy="668702"/>
                                                </a:xfrm>
                                                <a:prstGeom prst="rect">
                                                  <a:avLst/>
                                                </a:prstGeom>
                                                <a:noFill/>
                                                <a:ln>
                                                  <a:noFill/>
                                                </a:ln>
                                              </pic:spPr>
                                            </pic:pic>
                                          </a:graphicData>
                                        </a:graphic>
                                      </wp:inline>
                                    </w:drawing>
                                  </w:r>
                                </w:p>
                                <w:p w14:paraId="3D15F414" w14:textId="77777777" w:rsidR="00C67A24" w:rsidRDefault="00C67A24" w:rsidP="00C67A24">
                                  <w:pPr>
                                    <w:pStyle w:val="Sansinterligne"/>
                                    <w:jc w:val="center"/>
                                    <w:rPr>
                                      <w:noProof/>
                                    </w:rPr>
                                  </w:pPr>
                                </w:p>
                                <w:p w14:paraId="0E4165E1" w14:textId="0DA6F9D3" w:rsidR="00C67A24" w:rsidRDefault="00C67A24" w:rsidP="00C67A24">
                                  <w:pPr>
                                    <w:pStyle w:val="Sansinterligne"/>
                                    <w:jc w:val="center"/>
                                    <w:rPr>
                                      <w:b/>
                                      <w:bCs/>
                                      <w:noProof/>
                                      <w:sz w:val="56"/>
                                      <w:szCs w:val="56"/>
                                    </w:rPr>
                                  </w:pPr>
                                  <w:r>
                                    <w:rPr>
                                      <w:b/>
                                      <w:bCs/>
                                      <w:noProof/>
                                      <w:sz w:val="56"/>
                                      <w:szCs w:val="56"/>
                                    </w:rPr>
                                    <w:t xml:space="preserve">Doctrine </w:t>
                                  </w:r>
                                  <w:r w:rsidRPr="00C67A24">
                                    <w:rPr>
                                      <w:b/>
                                      <w:bCs/>
                                      <w:noProof/>
                                      <w:sz w:val="56"/>
                                      <w:szCs w:val="56"/>
                                    </w:rPr>
                                    <w:t>relative à la création/révision des fiches d’opérations standardisées</w:t>
                                  </w:r>
                                  <w:r>
                                    <w:rPr>
                                      <w:b/>
                                      <w:bCs/>
                                      <w:noProof/>
                                      <w:sz w:val="56"/>
                                      <w:szCs w:val="56"/>
                                    </w:rPr>
                                    <w:br/>
                                  </w:r>
                                  <w:r w:rsidRPr="00C67A24">
                                    <w:rPr>
                                      <w:b/>
                                      <w:bCs/>
                                      <w:noProof/>
                                      <w:sz w:val="56"/>
                                      <w:szCs w:val="56"/>
                                    </w:rPr>
                                    <w:t>et aux bonifications</w:t>
                                  </w:r>
                                </w:p>
                                <w:p w14:paraId="7DEE2E91" w14:textId="63D82326" w:rsidR="00C67A24" w:rsidRDefault="00C67A24" w:rsidP="00C67A24">
                                  <w:pPr>
                                    <w:pStyle w:val="Sansinterligne"/>
                                    <w:jc w:val="center"/>
                                    <w:rPr>
                                      <w:b/>
                                      <w:bCs/>
                                      <w:noProof/>
                                      <w:sz w:val="28"/>
                                      <w:szCs w:val="56"/>
                                    </w:rPr>
                                  </w:pPr>
                                  <w:r>
                                    <w:rPr>
                                      <w:b/>
                                      <w:bCs/>
                                      <w:noProof/>
                                      <w:sz w:val="28"/>
                                      <w:szCs w:val="56"/>
                                    </w:rPr>
                                    <w:t>Version en vigueur à compter du XXX</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21437FC" id="Groupe 193" o:spid="_x0000_s1026" style="position:absolute;margin-left:27.6pt;margin-top:38.35pt;width:540pt;height:746.2pt;z-index:-251657216;mso-position-horizontal-relative:page;mso-position-vertical-relative:page"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2970E2A2" w14:textId="6666EE7F" w:rsidR="00B67CBB" w:rsidRPr="00B67CBB" w:rsidRDefault="00B67CBB" w:rsidP="00B67CBB">
                            <w:pPr>
                              <w:pStyle w:val="Sansinterligne"/>
                              <w:spacing w:before="120"/>
                              <w:jc w:val="center"/>
                              <w:rPr>
                                <w:rFonts w:eastAsiaTheme="minorHAnsi"/>
                                <w:color w:val="FFFFFF" w:themeColor="background1"/>
                                <w:lang w:eastAsia="en-US"/>
                              </w:rPr>
                            </w:pPr>
                          </w:p>
                        </w:txbxContent>
                      </v:textbox>
                    </v:rect>
                    <v:shapetype id="_x0000_t202" coordsize="21600,21600" o:spt="202" path="m,l,21600r21600,l21600,xe">
                      <v:stroke joinstyle="miter"/>
                      <v:path gradientshapeok="t" o:connecttype="rect"/>
                    </v:shapetype>
                    <v:shape id="Zone de texte 196" o:spid="_x0000_s1029" type="#_x0000_t202" style="position:absolute;left:66;top:14530;width:68508;height:29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290B99BF" w14:textId="77777777" w:rsidR="00C67A24" w:rsidRDefault="00C67A24" w:rsidP="00C67A24">
                            <w:pPr>
                              <w:pStyle w:val="Sansinterligne"/>
                              <w:jc w:val="center"/>
                              <w:rPr>
                                <w:noProof/>
                              </w:rPr>
                            </w:pPr>
                            <w:r>
                              <w:rPr>
                                <w:noProof/>
                              </w:rPr>
                              <w:t xml:space="preserve">   </w:t>
                            </w:r>
                            <w:r>
                              <w:rPr>
                                <w:noProof/>
                              </w:rPr>
                              <w:drawing>
                                <wp:inline distT="0" distB="0" distL="0" distR="0" wp14:anchorId="2A09A659" wp14:editId="4F3F6239">
                                  <wp:extent cx="1634067" cy="636105"/>
                                  <wp:effectExtent l="0" t="0" r="4445" b="0"/>
                                  <wp:docPr id="5" name="Image 5" descr="L:\Economies d'energie\CEE\Statistiques - communication\Logo CEE\logo_CEE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conomies d'energie\CEE\Statistiques - communication\Logo CEE\logo_CEE 20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7804" cy="668702"/>
                                          </a:xfrm>
                                          <a:prstGeom prst="rect">
                                            <a:avLst/>
                                          </a:prstGeom>
                                          <a:noFill/>
                                          <a:ln>
                                            <a:noFill/>
                                          </a:ln>
                                        </pic:spPr>
                                      </pic:pic>
                                    </a:graphicData>
                                  </a:graphic>
                                </wp:inline>
                              </w:drawing>
                            </w:r>
                          </w:p>
                          <w:p w14:paraId="3D15F414" w14:textId="77777777" w:rsidR="00C67A24" w:rsidRDefault="00C67A24" w:rsidP="00C67A24">
                            <w:pPr>
                              <w:pStyle w:val="Sansinterligne"/>
                              <w:jc w:val="center"/>
                              <w:rPr>
                                <w:noProof/>
                              </w:rPr>
                            </w:pPr>
                          </w:p>
                          <w:p w14:paraId="0E4165E1" w14:textId="0DA6F9D3" w:rsidR="00C67A24" w:rsidRDefault="00C67A24" w:rsidP="00C67A24">
                            <w:pPr>
                              <w:pStyle w:val="Sansinterligne"/>
                              <w:jc w:val="center"/>
                              <w:rPr>
                                <w:b/>
                                <w:bCs/>
                                <w:noProof/>
                                <w:sz w:val="56"/>
                                <w:szCs w:val="56"/>
                              </w:rPr>
                            </w:pPr>
                            <w:r>
                              <w:rPr>
                                <w:b/>
                                <w:bCs/>
                                <w:noProof/>
                                <w:sz w:val="56"/>
                                <w:szCs w:val="56"/>
                              </w:rPr>
                              <w:t xml:space="preserve">Doctrine </w:t>
                            </w:r>
                            <w:r w:rsidRPr="00C67A24">
                              <w:rPr>
                                <w:b/>
                                <w:bCs/>
                                <w:noProof/>
                                <w:sz w:val="56"/>
                                <w:szCs w:val="56"/>
                              </w:rPr>
                              <w:t>relative à la création/révision des fiches d’opérations standardisées</w:t>
                            </w:r>
                            <w:r>
                              <w:rPr>
                                <w:b/>
                                <w:bCs/>
                                <w:noProof/>
                                <w:sz w:val="56"/>
                                <w:szCs w:val="56"/>
                              </w:rPr>
                              <w:br/>
                            </w:r>
                            <w:r w:rsidRPr="00C67A24">
                              <w:rPr>
                                <w:b/>
                                <w:bCs/>
                                <w:noProof/>
                                <w:sz w:val="56"/>
                                <w:szCs w:val="56"/>
                              </w:rPr>
                              <w:t>et aux bonifications</w:t>
                            </w:r>
                          </w:p>
                          <w:p w14:paraId="7DEE2E91" w14:textId="63D82326" w:rsidR="00C67A24" w:rsidRDefault="00C67A24" w:rsidP="00C67A24">
                            <w:pPr>
                              <w:pStyle w:val="Sansinterligne"/>
                              <w:jc w:val="center"/>
                              <w:rPr>
                                <w:b/>
                                <w:bCs/>
                                <w:noProof/>
                                <w:sz w:val="28"/>
                                <w:szCs w:val="56"/>
                              </w:rPr>
                            </w:pPr>
                            <w:r>
                              <w:rPr>
                                <w:b/>
                                <w:bCs/>
                                <w:noProof/>
                                <w:sz w:val="28"/>
                                <w:szCs w:val="56"/>
                              </w:rPr>
                              <w:t>Version en vigueur à compter du XXX</w:t>
                            </w:r>
                          </w:p>
                        </w:txbxContent>
                      </v:textbox>
                    </v:shape>
                    <w10:wrap anchorx="page" anchory="page"/>
                  </v:group>
                </w:pict>
              </mc:Fallback>
            </mc:AlternateContent>
          </w:r>
        </w:p>
        <w:p w14:paraId="4110D034" w14:textId="1495F3F3" w:rsidR="00C67A24" w:rsidRPr="00177649" w:rsidRDefault="00C44F2A" w:rsidP="00C67A24">
          <w:pPr>
            <w:rPr>
              <w:rFonts w:ascii="Marianne" w:hAnsi="Marianne"/>
              <w:b/>
              <w:u w:val="single"/>
            </w:rPr>
          </w:pPr>
          <w:r>
            <w:rPr>
              <w:rFonts w:ascii="Marianne" w:hAnsi="Marianne"/>
              <w:noProof/>
            </w:rPr>
            <mc:AlternateContent>
              <mc:Choice Requires="wps">
                <w:drawing>
                  <wp:anchor distT="0" distB="0" distL="114300" distR="114300" simplePos="0" relativeHeight="251662336" behindDoc="0" locked="0" layoutInCell="1" allowOverlap="1" wp14:anchorId="5DE3AFBD" wp14:editId="79BB1D18">
                    <wp:simplePos x="0" y="0"/>
                    <wp:positionH relativeFrom="column">
                      <wp:posOffset>-252095</wp:posOffset>
                    </wp:positionH>
                    <wp:positionV relativeFrom="paragraph">
                      <wp:posOffset>3940176</wp:posOffset>
                    </wp:positionV>
                    <wp:extent cx="6286500" cy="3295650"/>
                    <wp:effectExtent l="0" t="0" r="19050" b="19050"/>
                    <wp:wrapNone/>
                    <wp:docPr id="6" name="Zone de texte 6"/>
                    <wp:cNvGraphicFramePr/>
                    <a:graphic xmlns:a="http://schemas.openxmlformats.org/drawingml/2006/main">
                      <a:graphicData uri="http://schemas.microsoft.com/office/word/2010/wordprocessingShape">
                        <wps:wsp>
                          <wps:cNvSpPr txBox="1"/>
                          <wps:spPr>
                            <a:xfrm>
                              <a:off x="0" y="0"/>
                              <a:ext cx="6286500" cy="3295650"/>
                            </a:xfrm>
                            <a:prstGeom prst="rect">
                              <a:avLst/>
                            </a:prstGeom>
                            <a:noFill/>
                            <a:ln w="6350">
                              <a:solidFill>
                                <a:prstClr val="black"/>
                              </a:solidFill>
                            </a:ln>
                          </wps:spPr>
                          <wps:txbx>
                            <w:txbxContent>
                              <w:p w14:paraId="7099CEE1" w14:textId="6FB08388" w:rsidR="00350CA5" w:rsidRPr="00350CA5" w:rsidRDefault="00350CA5" w:rsidP="00350CA5">
                                <w:pPr>
                                  <w:jc w:val="both"/>
                                  <w:rPr>
                                    <w:b/>
                                    <w:bCs/>
                                    <w:color w:val="FFFFFF" w:themeColor="background1"/>
                                  </w:rPr>
                                </w:pPr>
                                <w:r w:rsidRPr="00350CA5">
                                  <w:rPr>
                                    <w:b/>
                                    <w:bCs/>
                                    <w:color w:val="FFFFFF" w:themeColor="background1"/>
                                  </w:rPr>
                                  <w:t>Le présent document est un projet.</w:t>
                                </w:r>
                              </w:p>
                              <w:p w14:paraId="12AAB98A" w14:textId="76545E24" w:rsidR="00350CA5" w:rsidRPr="00350CA5" w:rsidRDefault="00350CA5" w:rsidP="00350CA5">
                                <w:pPr>
                                  <w:jc w:val="both"/>
                                  <w:rPr>
                                    <w:b/>
                                    <w:bCs/>
                                    <w:color w:val="FFFFFF" w:themeColor="background1"/>
                                  </w:rPr>
                                </w:pPr>
                                <w:r w:rsidRPr="00350CA5">
                                  <w:rPr>
                                    <w:b/>
                                    <w:bCs/>
                                    <w:color w:val="FFFFFF" w:themeColor="background1"/>
                                  </w:rPr>
                                  <w:t xml:space="preserve">Il est attendu des contributeurs qu’ils formalisent leurs commentaires dans l’ordre du document. Les remarques jugées les plus critiques par le contributeur devront être identifiées précisément dans l’introduction du document. Les contributeurs sont libres de formuler des propositions complémentaires relatives aux </w:t>
                                </w:r>
                                <w:r w:rsidR="008C4585">
                                  <w:rPr>
                                    <w:b/>
                                    <w:bCs/>
                                    <w:color w:val="FFFFFF" w:themeColor="background1"/>
                                  </w:rPr>
                                  <w:t>fiches et aux bonifications</w:t>
                                </w:r>
                                <w:r w:rsidRPr="00350CA5">
                                  <w:rPr>
                                    <w:b/>
                                    <w:bCs/>
                                    <w:color w:val="FFFFFF" w:themeColor="background1"/>
                                  </w:rPr>
                                  <w:t>, sous réserve de leur conformité avec la réglementation actuelle, et en justifiant de l’intérêt pour la bonne gestion du dispositif de ces propositions.</w:t>
                                </w:r>
                              </w:p>
                              <w:p w14:paraId="3A9C9795" w14:textId="3C68B1C0" w:rsidR="00350CA5" w:rsidRPr="00350CA5" w:rsidRDefault="00350CA5" w:rsidP="00350CA5">
                                <w:pPr>
                                  <w:jc w:val="both"/>
                                  <w:rPr>
                                    <w:b/>
                                    <w:bCs/>
                                    <w:color w:val="FFFFFF" w:themeColor="background1"/>
                                  </w:rPr>
                                </w:pPr>
                                <w:r w:rsidRPr="00350CA5">
                                  <w:rPr>
                                    <w:b/>
                                    <w:bCs/>
                                    <w:color w:val="FFFFFF" w:themeColor="background1"/>
                                  </w:rPr>
                                  <w:t xml:space="preserve">Les retours sont attendus d’ici au </w:t>
                                </w:r>
                                <w:r w:rsidR="008C4585">
                                  <w:rPr>
                                    <w:b/>
                                    <w:bCs/>
                                    <w:color w:val="FFFFFF" w:themeColor="background1"/>
                                  </w:rPr>
                                  <w:t>lundi 23 mars</w:t>
                                </w:r>
                                <w:r w:rsidRPr="00350CA5">
                                  <w:rPr>
                                    <w:b/>
                                    <w:bCs/>
                                    <w:color w:val="FFFFFF" w:themeColor="background1"/>
                                  </w:rPr>
                                  <w:t xml:space="preserve"> 2026</w:t>
                                </w:r>
                                <w:r w:rsidR="008C4585">
                                  <w:rPr>
                                    <w:b/>
                                    <w:bCs/>
                                    <w:color w:val="FFFFFF" w:themeColor="background1"/>
                                  </w:rPr>
                                  <w:t>,</w:t>
                                </w:r>
                                <w:r w:rsidRPr="00350CA5">
                                  <w:rPr>
                                    <w:b/>
                                    <w:bCs/>
                                    <w:color w:val="FFFFFF" w:themeColor="background1"/>
                                  </w:rPr>
                                  <w:t xml:space="preserve"> 12h et doivent être envoyés à l’adresse suivante avec en objet [NOM DU CONTRIBUTEUR – Concertation Doctrine </w:t>
                                </w:r>
                                <w:r w:rsidR="008C4585">
                                  <w:rPr>
                                    <w:b/>
                                    <w:bCs/>
                                    <w:color w:val="FFFFFF" w:themeColor="background1"/>
                                  </w:rPr>
                                  <w:t>Fiche</w:t>
                                </w:r>
                                <w:r w:rsidRPr="00350CA5">
                                  <w:rPr>
                                    <w:b/>
                                    <w:bCs/>
                                    <w:color w:val="FFFFFF" w:themeColor="background1"/>
                                  </w:rPr>
                                  <w:t>]</w:t>
                                </w:r>
                                <w:r w:rsidR="008C4585">
                                  <w:rPr>
                                    <w:b/>
                                    <w:bCs/>
                                    <w:color w:val="FFFFFF" w:themeColor="background1"/>
                                  </w:rPr>
                                  <w:t> :</w:t>
                                </w:r>
                                <w:r w:rsidRPr="00350CA5">
                                  <w:rPr>
                                    <w:b/>
                                    <w:bCs/>
                                    <w:color w:val="FFFFFF" w:themeColor="background1"/>
                                  </w:rPr>
                                  <w:t xml:space="preserve"> </w:t>
                                </w:r>
                                <w:r w:rsidR="008C4585">
                                  <w:rPr>
                                    <w:b/>
                                    <w:bCs/>
                                    <w:color w:val="FFFFFF" w:themeColor="background1"/>
                                  </w:rPr>
                                  <w:t>cee</w:t>
                                </w:r>
                                <w:r w:rsidRPr="00350CA5">
                                  <w:rPr>
                                    <w:b/>
                                    <w:bCs/>
                                    <w:color w:val="FFFFFF" w:themeColor="background1"/>
                                  </w:rPr>
                                  <w:t xml:space="preserve">@developpement-durable.gouv.fr </w:t>
                                </w:r>
                              </w:p>
                              <w:p w14:paraId="782A6726" w14:textId="7E908486" w:rsidR="00350CA5" w:rsidRPr="00350CA5" w:rsidRDefault="00350CA5" w:rsidP="00350CA5">
                                <w:pPr>
                                  <w:jc w:val="both"/>
                                  <w:rPr>
                                    <w:b/>
                                    <w:bCs/>
                                    <w:color w:val="FFFFFF" w:themeColor="background1"/>
                                  </w:rPr>
                                </w:pPr>
                                <w:r w:rsidRPr="00350CA5">
                                  <w:rPr>
                                    <w:b/>
                                    <w:bCs/>
                                    <w:color w:val="FFFFFF" w:themeColor="background1"/>
                                  </w:rPr>
                                  <w:t>Il est attendu des contributions ne dépassant pas 5 pages. Les acteurs peuvent également formaliser leurs remarques et proposition directement en suivi de modification dans le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E3AFBD" id="Zone de texte 6" o:spid="_x0000_s1030" type="#_x0000_t202" style="position:absolute;margin-left:-19.85pt;margin-top:310.25pt;width:495pt;height:25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" filled="f" strokeweight=".5pt">
                    <v:textbox>
                      <w:txbxContent>
                        <w:p w14:paraId="7099CEE1" w14:textId="6FB08388" w:rsidR="00350CA5" w:rsidRPr="00350CA5" w:rsidRDefault="00350CA5" w:rsidP="00350CA5">
                          <w:pPr>
                            <w:jc w:val="both"/>
                            <w:rPr>
                              <w:b/>
                              <w:bCs/>
                              <w:color w:val="FFFFFF" w:themeColor="background1"/>
                            </w:rPr>
                          </w:pPr>
                          <w:r w:rsidRPr="00350CA5">
                            <w:rPr>
                              <w:b/>
                              <w:bCs/>
                              <w:color w:val="FFFFFF" w:themeColor="background1"/>
                            </w:rPr>
                            <w:t>Le présent document est un projet.</w:t>
                          </w:r>
                        </w:p>
                        <w:p w14:paraId="12AAB98A" w14:textId="76545E24" w:rsidR="00350CA5" w:rsidRPr="00350CA5" w:rsidRDefault="00350CA5" w:rsidP="00350CA5">
                          <w:pPr>
                            <w:jc w:val="both"/>
                            <w:rPr>
                              <w:b/>
                              <w:bCs/>
                              <w:color w:val="FFFFFF" w:themeColor="background1"/>
                            </w:rPr>
                          </w:pPr>
                          <w:r w:rsidRPr="00350CA5">
                            <w:rPr>
                              <w:b/>
                              <w:bCs/>
                              <w:color w:val="FFFFFF" w:themeColor="background1"/>
                            </w:rPr>
                            <w:t xml:space="preserve">Il est attendu des contributeurs qu’ils formalisent leurs commentaires dans l’ordre du document. Les remarques jugées les plus critiques par le contributeur devront être identifiées précisément dans l’introduction du document. Les contributeurs sont libres de formuler des propositions complémentaires relatives aux </w:t>
                          </w:r>
                          <w:r w:rsidR="008C4585">
                            <w:rPr>
                              <w:b/>
                              <w:bCs/>
                              <w:color w:val="FFFFFF" w:themeColor="background1"/>
                            </w:rPr>
                            <w:t>fiches et aux bonifications</w:t>
                          </w:r>
                          <w:r w:rsidRPr="00350CA5">
                            <w:rPr>
                              <w:b/>
                              <w:bCs/>
                              <w:color w:val="FFFFFF" w:themeColor="background1"/>
                            </w:rPr>
                            <w:t>, sous réserve de leur conformité avec la réglementation actuelle, et en justifiant de l’intérêt pour la bonne gestion du dispositif de ces propositions.</w:t>
                          </w:r>
                        </w:p>
                        <w:p w14:paraId="3A9C9795" w14:textId="3C68B1C0" w:rsidR="00350CA5" w:rsidRPr="00350CA5" w:rsidRDefault="00350CA5" w:rsidP="00350CA5">
                          <w:pPr>
                            <w:jc w:val="both"/>
                            <w:rPr>
                              <w:b/>
                              <w:bCs/>
                              <w:color w:val="FFFFFF" w:themeColor="background1"/>
                            </w:rPr>
                          </w:pPr>
                          <w:r w:rsidRPr="00350CA5">
                            <w:rPr>
                              <w:b/>
                              <w:bCs/>
                              <w:color w:val="FFFFFF" w:themeColor="background1"/>
                            </w:rPr>
                            <w:t xml:space="preserve">Les retours sont attendus d’ici au </w:t>
                          </w:r>
                          <w:r w:rsidR="008C4585">
                            <w:rPr>
                              <w:b/>
                              <w:bCs/>
                              <w:color w:val="FFFFFF" w:themeColor="background1"/>
                            </w:rPr>
                            <w:t>lundi 23 mars</w:t>
                          </w:r>
                          <w:r w:rsidRPr="00350CA5">
                            <w:rPr>
                              <w:b/>
                              <w:bCs/>
                              <w:color w:val="FFFFFF" w:themeColor="background1"/>
                            </w:rPr>
                            <w:t xml:space="preserve"> 2026</w:t>
                          </w:r>
                          <w:r w:rsidR="008C4585">
                            <w:rPr>
                              <w:b/>
                              <w:bCs/>
                              <w:color w:val="FFFFFF" w:themeColor="background1"/>
                            </w:rPr>
                            <w:t>,</w:t>
                          </w:r>
                          <w:r w:rsidRPr="00350CA5">
                            <w:rPr>
                              <w:b/>
                              <w:bCs/>
                              <w:color w:val="FFFFFF" w:themeColor="background1"/>
                            </w:rPr>
                            <w:t xml:space="preserve"> 12h et doivent être envoyés à l’adresse suivante avec en objet [NOM DU CONTRIBUTEUR – Concertation Doctrine </w:t>
                          </w:r>
                          <w:r w:rsidR="008C4585">
                            <w:rPr>
                              <w:b/>
                              <w:bCs/>
                              <w:color w:val="FFFFFF" w:themeColor="background1"/>
                            </w:rPr>
                            <w:t>Fiche</w:t>
                          </w:r>
                          <w:r w:rsidRPr="00350CA5">
                            <w:rPr>
                              <w:b/>
                              <w:bCs/>
                              <w:color w:val="FFFFFF" w:themeColor="background1"/>
                            </w:rPr>
                            <w:t>]</w:t>
                          </w:r>
                          <w:r w:rsidR="008C4585">
                            <w:rPr>
                              <w:b/>
                              <w:bCs/>
                              <w:color w:val="FFFFFF" w:themeColor="background1"/>
                            </w:rPr>
                            <w:t> :</w:t>
                          </w:r>
                          <w:r w:rsidRPr="00350CA5">
                            <w:rPr>
                              <w:b/>
                              <w:bCs/>
                              <w:color w:val="FFFFFF" w:themeColor="background1"/>
                            </w:rPr>
                            <w:t xml:space="preserve"> </w:t>
                          </w:r>
                          <w:r w:rsidR="008C4585">
                            <w:rPr>
                              <w:b/>
                              <w:bCs/>
                              <w:color w:val="FFFFFF" w:themeColor="background1"/>
                            </w:rPr>
                            <w:t>cee</w:t>
                          </w:r>
                          <w:r w:rsidRPr="00350CA5">
                            <w:rPr>
                              <w:b/>
                              <w:bCs/>
                              <w:color w:val="FFFFFF" w:themeColor="background1"/>
                            </w:rPr>
                            <w:t xml:space="preserve">@developpement-durable.gouv.fr </w:t>
                          </w:r>
                        </w:p>
                        <w:p w14:paraId="782A6726" w14:textId="7E908486" w:rsidR="00350CA5" w:rsidRPr="00350CA5" w:rsidRDefault="00350CA5" w:rsidP="00350CA5">
                          <w:pPr>
                            <w:jc w:val="both"/>
                            <w:rPr>
                              <w:b/>
                              <w:bCs/>
                              <w:color w:val="FFFFFF" w:themeColor="background1"/>
                            </w:rPr>
                          </w:pPr>
                          <w:r w:rsidRPr="00350CA5">
                            <w:rPr>
                              <w:b/>
                              <w:bCs/>
                              <w:color w:val="FFFFFF" w:themeColor="background1"/>
                            </w:rPr>
                            <w:t>Il est attendu des contributions ne dépassant pas 5 pages. Les acteurs peuvent également formaliser leurs remarques et proposition directement en suivi de modification dans le document.</w:t>
                          </w:r>
                        </w:p>
                      </w:txbxContent>
                    </v:textbox>
                  </v:shape>
                </w:pict>
              </mc:Fallback>
            </mc:AlternateContent>
          </w:r>
          <w:r>
            <w:rPr>
              <w:rFonts w:ascii="Marianne" w:hAnsi="Marianne"/>
              <w:noProof/>
            </w:rPr>
            <mc:AlternateContent>
              <mc:Choice Requires="wps">
                <w:drawing>
                  <wp:anchor distT="0" distB="0" distL="114300" distR="114300" simplePos="0" relativeHeight="251664384" behindDoc="0" locked="0" layoutInCell="1" allowOverlap="1" wp14:anchorId="6EA8B23D" wp14:editId="0E029705">
                    <wp:simplePos x="0" y="0"/>
                    <wp:positionH relativeFrom="column">
                      <wp:posOffset>2214880</wp:posOffset>
                    </wp:positionH>
                    <wp:positionV relativeFrom="paragraph">
                      <wp:posOffset>7645400</wp:posOffset>
                    </wp:positionV>
                    <wp:extent cx="1352550" cy="285750"/>
                    <wp:effectExtent l="0" t="0" r="19050" b="19050"/>
                    <wp:wrapNone/>
                    <wp:docPr id="7" name="Zone de texte 7"/>
                    <wp:cNvGraphicFramePr/>
                    <a:graphic xmlns:a="http://schemas.openxmlformats.org/drawingml/2006/main">
                      <a:graphicData uri="http://schemas.microsoft.com/office/word/2010/wordprocessingShape">
                        <wps:wsp>
                          <wps:cNvSpPr txBox="1"/>
                          <wps:spPr>
                            <a:xfrm>
                              <a:off x="0" y="0"/>
                              <a:ext cx="1352550" cy="285750"/>
                            </a:xfrm>
                            <a:prstGeom prst="rect">
                              <a:avLst/>
                            </a:prstGeom>
                            <a:noFill/>
                            <a:ln w="6350">
                              <a:solidFill>
                                <a:prstClr val="black"/>
                              </a:solidFill>
                            </a:ln>
                          </wps:spPr>
                          <wps:txbx>
                            <w:txbxContent>
                              <w:p w14:paraId="1A996B75" w14:textId="087B1B94" w:rsidR="00C44F2A" w:rsidRPr="00350CA5" w:rsidRDefault="00C44F2A" w:rsidP="00C44F2A">
                                <w:pPr>
                                  <w:jc w:val="both"/>
                                  <w:rPr>
                                    <w:b/>
                                    <w:bCs/>
                                    <w:color w:val="FFFFFF" w:themeColor="background1"/>
                                  </w:rPr>
                                </w:pPr>
                                <w:r>
                                  <w:rPr>
                                    <w:b/>
                                    <w:bCs/>
                                    <w:color w:val="FFFFFF" w:themeColor="background1"/>
                                  </w:rPr>
                                  <w:t>DGEC / SD5 / 5CD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8B23D" id="Zone de texte 7" o:spid="_x0000_s1031" type="#_x0000_t202" style="position:absolute;margin-left:174.4pt;margin-top:602pt;width:106.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" filled="f" strokeweight=".5pt">
                    <v:textbox>
                      <w:txbxContent>
                        <w:p w14:paraId="1A996B75" w14:textId="087B1B94" w:rsidR="00C44F2A" w:rsidRPr="00350CA5" w:rsidRDefault="00C44F2A" w:rsidP="00C44F2A">
                          <w:pPr>
                            <w:jc w:val="both"/>
                            <w:rPr>
                              <w:b/>
                              <w:bCs/>
                              <w:color w:val="FFFFFF" w:themeColor="background1"/>
                            </w:rPr>
                          </w:pPr>
                          <w:r>
                            <w:rPr>
                              <w:b/>
                              <w:bCs/>
                              <w:color w:val="FFFFFF" w:themeColor="background1"/>
                            </w:rPr>
                            <w:t>DGEC / SD5 / 5CD</w:t>
                          </w:r>
                        </w:p>
                      </w:txbxContent>
                    </v:textbox>
                  </v:shape>
                </w:pict>
              </mc:Fallback>
            </mc:AlternateContent>
          </w:r>
          <w:r w:rsidR="00C67A24" w:rsidRPr="00177649">
            <w:rPr>
              <w:rFonts w:ascii="Marianne" w:hAnsi="Marianne"/>
              <w:b/>
              <w:u w:val="single"/>
            </w:rPr>
            <w:br w:type="page"/>
          </w:r>
        </w:p>
        <w:sdt>
          <w:sdtPr>
            <w:rPr>
              <w:rFonts w:ascii="Marianne" w:eastAsiaTheme="minorHAnsi" w:hAnsi="Marianne" w:cstheme="minorBidi"/>
              <w:color w:val="auto"/>
              <w:sz w:val="22"/>
              <w:szCs w:val="22"/>
              <w:lang w:eastAsia="en-US"/>
            </w:rPr>
            <w:id w:val="-147523840"/>
            <w:docPartObj>
              <w:docPartGallery w:val="Table of Contents"/>
              <w:docPartUnique/>
            </w:docPartObj>
          </w:sdtPr>
          <w:sdtEndPr>
            <w:rPr>
              <w:b/>
              <w:bCs/>
            </w:rPr>
          </w:sdtEndPr>
          <w:sdtContent>
            <w:p w14:paraId="3B0D1A44" w14:textId="52445581" w:rsidR="006201F7" w:rsidRPr="00435F46" w:rsidRDefault="006201F7">
              <w:pPr>
                <w:pStyle w:val="En-ttedetabledesmatires"/>
                <w:rPr>
                  <w:rFonts w:ascii="Marianne" w:hAnsi="Marianne"/>
                </w:rPr>
              </w:pPr>
              <w:r w:rsidRPr="00435F46">
                <w:rPr>
                  <w:rFonts w:ascii="Marianne" w:hAnsi="Marianne"/>
                </w:rPr>
                <w:t>Table des matières</w:t>
              </w:r>
            </w:p>
            <w:p w14:paraId="6088D0D5" w14:textId="2F6E74A9" w:rsidR="006201F7" w:rsidRPr="00435F46" w:rsidRDefault="006201F7">
              <w:pPr>
                <w:pStyle w:val="TM1"/>
                <w:tabs>
                  <w:tab w:val="left" w:pos="440"/>
                  <w:tab w:val="right" w:leader="dot" w:pos="9062"/>
                </w:tabs>
                <w:rPr>
                  <w:rFonts w:ascii="Marianne" w:hAnsi="Marianne"/>
                  <w:noProof/>
                </w:rPr>
              </w:pPr>
              <w:r w:rsidRPr="00435F46">
                <w:rPr>
                  <w:rFonts w:ascii="Marianne" w:hAnsi="Marianne"/>
                </w:rPr>
                <w:fldChar w:fldCharType="begin"/>
              </w:r>
              <w:r w:rsidRPr="00435F46">
                <w:rPr>
                  <w:rFonts w:ascii="Marianne" w:hAnsi="Marianne"/>
                </w:rPr>
                <w:instrText xml:space="preserve"> TOC \o "1-3" \h \z \u </w:instrText>
              </w:r>
              <w:r w:rsidRPr="00435F46">
                <w:rPr>
                  <w:rFonts w:ascii="Marianne" w:hAnsi="Marianne"/>
                </w:rPr>
                <w:fldChar w:fldCharType="separate"/>
              </w:r>
              <w:hyperlink w:anchor="_Toc224204528" w:history="1">
                <w:r w:rsidRPr="00435F46">
                  <w:rPr>
                    <w:rStyle w:val="Lienhypertexte"/>
                    <w:rFonts w:ascii="Marianne" w:hAnsi="Marianne" w:cstheme="minorHAnsi"/>
                    <w:b/>
                    <w:noProof/>
                  </w:rPr>
                  <w:t>1</w:t>
                </w:r>
                <w:r w:rsidRPr="00435F46">
                  <w:rPr>
                    <w:rFonts w:ascii="Marianne" w:hAnsi="Marianne"/>
                    <w:noProof/>
                  </w:rPr>
                  <w:tab/>
                </w:r>
                <w:r w:rsidRPr="00435F46">
                  <w:rPr>
                    <w:rStyle w:val="Lienhypertexte"/>
                    <w:rFonts w:ascii="Marianne" w:hAnsi="Marianne" w:cstheme="minorHAnsi"/>
                    <w:b/>
                    <w:noProof/>
                  </w:rPr>
                  <w:t>Création/révision des fiches d’opérations standardisées</w:t>
                </w:r>
                <w:r w:rsidRPr="00435F46">
                  <w:rPr>
                    <w:rFonts w:ascii="Marianne" w:hAnsi="Marianne"/>
                    <w:noProof/>
                    <w:webHidden/>
                  </w:rPr>
                  <w:tab/>
                </w:r>
                <w:r w:rsidRPr="00435F46">
                  <w:rPr>
                    <w:rFonts w:ascii="Marianne" w:hAnsi="Marianne"/>
                    <w:noProof/>
                    <w:webHidden/>
                  </w:rPr>
                  <w:fldChar w:fldCharType="begin"/>
                </w:r>
                <w:r w:rsidRPr="00435F46">
                  <w:rPr>
                    <w:rFonts w:ascii="Marianne" w:hAnsi="Marianne"/>
                    <w:noProof/>
                    <w:webHidden/>
                  </w:rPr>
                  <w:instrText xml:space="preserve"> PAGEREF _Toc224204528 \h </w:instrText>
                </w:r>
                <w:r w:rsidRPr="00435F46">
                  <w:rPr>
                    <w:rFonts w:ascii="Marianne" w:hAnsi="Marianne"/>
                    <w:noProof/>
                    <w:webHidden/>
                  </w:rPr>
                </w:r>
                <w:r w:rsidRPr="00435F46">
                  <w:rPr>
                    <w:rFonts w:ascii="Marianne" w:hAnsi="Marianne"/>
                    <w:noProof/>
                    <w:webHidden/>
                  </w:rPr>
                  <w:fldChar w:fldCharType="separate"/>
                </w:r>
                <w:r w:rsidR="00435F46">
                  <w:rPr>
                    <w:rFonts w:ascii="Marianne" w:hAnsi="Marianne"/>
                    <w:noProof/>
                    <w:webHidden/>
                  </w:rPr>
                  <w:t>3</w:t>
                </w:r>
                <w:r w:rsidRPr="00435F46">
                  <w:rPr>
                    <w:rFonts w:ascii="Marianne" w:hAnsi="Marianne"/>
                    <w:noProof/>
                    <w:webHidden/>
                  </w:rPr>
                  <w:fldChar w:fldCharType="end"/>
                </w:r>
              </w:hyperlink>
            </w:p>
            <w:p w14:paraId="7BC05B5C" w14:textId="77FC5C98" w:rsidR="006201F7" w:rsidRPr="00435F46" w:rsidRDefault="008C4585">
              <w:pPr>
                <w:pStyle w:val="TM2"/>
                <w:tabs>
                  <w:tab w:val="left" w:pos="880"/>
                  <w:tab w:val="right" w:leader="dot" w:pos="9062"/>
                </w:tabs>
                <w:rPr>
                  <w:rFonts w:ascii="Marianne" w:hAnsi="Marianne"/>
                  <w:noProof/>
                </w:rPr>
              </w:pPr>
              <w:hyperlink w:anchor="_Toc224204529" w:history="1">
                <w:r w:rsidR="006201F7" w:rsidRPr="00435F46">
                  <w:rPr>
                    <w:rStyle w:val="Lienhypertexte"/>
                    <w:rFonts w:ascii="Marianne" w:hAnsi="Marianne"/>
                    <w:noProof/>
                  </w:rPr>
                  <w:t>1.2</w:t>
                </w:r>
                <w:r w:rsidR="006201F7" w:rsidRPr="00435F46">
                  <w:rPr>
                    <w:rFonts w:ascii="Marianne" w:hAnsi="Marianne"/>
                    <w:noProof/>
                  </w:rPr>
                  <w:tab/>
                </w:r>
                <w:r w:rsidR="006201F7" w:rsidRPr="00435F46">
                  <w:rPr>
                    <w:rStyle w:val="Lienhypertexte"/>
                    <w:rFonts w:ascii="Marianne" w:hAnsi="Marianne"/>
                    <w:noProof/>
                  </w:rPr>
                  <w:t>Prérequis à la création d’une fiche d’opération standardisée</w:t>
                </w:r>
                <w:r w:rsidR="006201F7" w:rsidRPr="00435F46">
                  <w:rPr>
                    <w:rFonts w:ascii="Marianne" w:hAnsi="Marianne"/>
                    <w:noProof/>
                    <w:webHidden/>
                  </w:rPr>
                  <w:tab/>
                </w:r>
                <w:r w:rsidR="006201F7" w:rsidRPr="00435F46">
                  <w:rPr>
                    <w:rFonts w:ascii="Marianne" w:hAnsi="Marianne"/>
                    <w:noProof/>
                    <w:webHidden/>
                  </w:rPr>
                  <w:fldChar w:fldCharType="begin"/>
                </w:r>
                <w:r w:rsidR="006201F7" w:rsidRPr="00435F46">
                  <w:rPr>
                    <w:rFonts w:ascii="Marianne" w:hAnsi="Marianne"/>
                    <w:noProof/>
                    <w:webHidden/>
                  </w:rPr>
                  <w:instrText xml:space="preserve"> PAGEREF _Toc224204529 \h </w:instrText>
                </w:r>
                <w:r w:rsidR="006201F7" w:rsidRPr="00435F46">
                  <w:rPr>
                    <w:rFonts w:ascii="Marianne" w:hAnsi="Marianne"/>
                    <w:noProof/>
                    <w:webHidden/>
                  </w:rPr>
                </w:r>
                <w:r w:rsidR="006201F7" w:rsidRPr="00435F46">
                  <w:rPr>
                    <w:rFonts w:ascii="Marianne" w:hAnsi="Marianne"/>
                    <w:noProof/>
                    <w:webHidden/>
                  </w:rPr>
                  <w:fldChar w:fldCharType="separate"/>
                </w:r>
                <w:r w:rsidR="00435F46">
                  <w:rPr>
                    <w:rFonts w:ascii="Marianne" w:hAnsi="Marianne"/>
                    <w:noProof/>
                    <w:webHidden/>
                  </w:rPr>
                  <w:t>3</w:t>
                </w:r>
                <w:r w:rsidR="006201F7" w:rsidRPr="00435F46">
                  <w:rPr>
                    <w:rFonts w:ascii="Marianne" w:hAnsi="Marianne"/>
                    <w:noProof/>
                    <w:webHidden/>
                  </w:rPr>
                  <w:fldChar w:fldCharType="end"/>
                </w:r>
              </w:hyperlink>
            </w:p>
            <w:p w14:paraId="1D7DCC6A" w14:textId="70436191" w:rsidR="006201F7" w:rsidRPr="00435F46" w:rsidRDefault="008C4585">
              <w:pPr>
                <w:pStyle w:val="TM2"/>
                <w:tabs>
                  <w:tab w:val="left" w:pos="880"/>
                  <w:tab w:val="right" w:leader="dot" w:pos="9062"/>
                </w:tabs>
                <w:rPr>
                  <w:rFonts w:ascii="Marianne" w:hAnsi="Marianne"/>
                  <w:noProof/>
                </w:rPr>
              </w:pPr>
              <w:hyperlink w:anchor="_Toc224204530" w:history="1">
                <w:r w:rsidR="006201F7" w:rsidRPr="00435F46">
                  <w:rPr>
                    <w:rStyle w:val="Lienhypertexte"/>
                    <w:rFonts w:ascii="Marianne" w:hAnsi="Marianne"/>
                    <w:noProof/>
                  </w:rPr>
                  <w:t>1.2</w:t>
                </w:r>
                <w:r w:rsidR="006201F7" w:rsidRPr="00435F46">
                  <w:rPr>
                    <w:rFonts w:ascii="Marianne" w:hAnsi="Marianne"/>
                    <w:noProof/>
                  </w:rPr>
                  <w:tab/>
                </w:r>
                <w:r w:rsidR="006201F7" w:rsidRPr="00435F46">
                  <w:rPr>
                    <w:rStyle w:val="Lienhypertexte"/>
                    <w:rFonts w:ascii="Marianne" w:hAnsi="Marianne"/>
                    <w:noProof/>
                  </w:rPr>
                  <w:t>Forfait de CEE d’une fiche</w:t>
                </w:r>
                <w:r w:rsidR="006201F7" w:rsidRPr="00435F46">
                  <w:rPr>
                    <w:rFonts w:ascii="Marianne" w:hAnsi="Marianne"/>
                    <w:noProof/>
                    <w:webHidden/>
                  </w:rPr>
                  <w:tab/>
                </w:r>
                <w:r w:rsidR="006201F7" w:rsidRPr="00435F46">
                  <w:rPr>
                    <w:rFonts w:ascii="Marianne" w:hAnsi="Marianne"/>
                    <w:noProof/>
                    <w:webHidden/>
                  </w:rPr>
                  <w:fldChar w:fldCharType="begin"/>
                </w:r>
                <w:r w:rsidR="006201F7" w:rsidRPr="00435F46">
                  <w:rPr>
                    <w:rFonts w:ascii="Marianne" w:hAnsi="Marianne"/>
                    <w:noProof/>
                    <w:webHidden/>
                  </w:rPr>
                  <w:instrText xml:space="preserve"> PAGEREF _Toc224204530 \h </w:instrText>
                </w:r>
                <w:r w:rsidR="006201F7" w:rsidRPr="00435F46">
                  <w:rPr>
                    <w:rFonts w:ascii="Marianne" w:hAnsi="Marianne"/>
                    <w:noProof/>
                    <w:webHidden/>
                  </w:rPr>
                </w:r>
                <w:r w:rsidR="006201F7" w:rsidRPr="00435F46">
                  <w:rPr>
                    <w:rFonts w:ascii="Marianne" w:hAnsi="Marianne"/>
                    <w:noProof/>
                    <w:webHidden/>
                  </w:rPr>
                  <w:fldChar w:fldCharType="separate"/>
                </w:r>
                <w:r w:rsidR="00435F46">
                  <w:rPr>
                    <w:rFonts w:ascii="Marianne" w:hAnsi="Marianne"/>
                    <w:noProof/>
                    <w:webHidden/>
                  </w:rPr>
                  <w:t>3</w:t>
                </w:r>
                <w:r w:rsidR="006201F7" w:rsidRPr="00435F46">
                  <w:rPr>
                    <w:rFonts w:ascii="Marianne" w:hAnsi="Marianne"/>
                    <w:noProof/>
                    <w:webHidden/>
                  </w:rPr>
                  <w:fldChar w:fldCharType="end"/>
                </w:r>
              </w:hyperlink>
            </w:p>
            <w:p w14:paraId="00B57A00" w14:textId="5F56F6CB" w:rsidR="006201F7" w:rsidRPr="00435F46" w:rsidRDefault="008C4585" w:rsidP="00435F46">
              <w:pPr>
                <w:pStyle w:val="TM1"/>
                <w:tabs>
                  <w:tab w:val="left" w:pos="440"/>
                  <w:tab w:val="right" w:leader="dot" w:pos="9062"/>
                </w:tabs>
                <w:rPr>
                  <w:rFonts w:ascii="Marianne" w:hAnsi="Marianne"/>
                </w:rPr>
              </w:pPr>
              <w:hyperlink w:anchor="_Toc224204531" w:history="1">
                <w:r w:rsidR="006201F7" w:rsidRPr="00435F46">
                  <w:rPr>
                    <w:rStyle w:val="Lienhypertexte"/>
                    <w:rFonts w:ascii="Marianne" w:hAnsi="Marianne" w:cstheme="minorHAnsi"/>
                    <w:b/>
                    <w:noProof/>
                  </w:rPr>
                  <w:t>2</w:t>
                </w:r>
                <w:r w:rsidR="006201F7" w:rsidRPr="00435F46">
                  <w:rPr>
                    <w:rFonts w:ascii="Marianne" w:hAnsi="Marianne"/>
                    <w:noProof/>
                  </w:rPr>
                  <w:tab/>
                </w:r>
                <w:r w:rsidR="006201F7" w:rsidRPr="00435F46">
                  <w:rPr>
                    <w:rStyle w:val="Lienhypertexte"/>
                    <w:rFonts w:ascii="Marianne" w:hAnsi="Marianne" w:cstheme="minorHAnsi"/>
                    <w:b/>
                    <w:noProof/>
                  </w:rPr>
                  <w:t>Les bonifications</w:t>
                </w:r>
                <w:r w:rsidR="006201F7" w:rsidRPr="00435F46">
                  <w:rPr>
                    <w:rFonts w:ascii="Marianne" w:hAnsi="Marianne"/>
                    <w:noProof/>
                    <w:webHidden/>
                  </w:rPr>
                  <w:tab/>
                </w:r>
                <w:r w:rsidR="006201F7" w:rsidRPr="00435F46">
                  <w:rPr>
                    <w:rFonts w:ascii="Marianne" w:hAnsi="Marianne"/>
                    <w:noProof/>
                    <w:webHidden/>
                  </w:rPr>
                  <w:fldChar w:fldCharType="begin"/>
                </w:r>
                <w:r w:rsidR="006201F7" w:rsidRPr="00435F46">
                  <w:rPr>
                    <w:rFonts w:ascii="Marianne" w:hAnsi="Marianne"/>
                    <w:noProof/>
                    <w:webHidden/>
                  </w:rPr>
                  <w:instrText xml:space="preserve"> PAGEREF _Toc224204531 \h </w:instrText>
                </w:r>
                <w:r w:rsidR="006201F7" w:rsidRPr="00435F46">
                  <w:rPr>
                    <w:rFonts w:ascii="Marianne" w:hAnsi="Marianne"/>
                    <w:noProof/>
                    <w:webHidden/>
                  </w:rPr>
                </w:r>
                <w:r w:rsidR="006201F7" w:rsidRPr="00435F46">
                  <w:rPr>
                    <w:rFonts w:ascii="Marianne" w:hAnsi="Marianne"/>
                    <w:noProof/>
                    <w:webHidden/>
                  </w:rPr>
                  <w:fldChar w:fldCharType="separate"/>
                </w:r>
                <w:r w:rsidR="00435F46">
                  <w:rPr>
                    <w:rFonts w:ascii="Marianne" w:hAnsi="Marianne"/>
                    <w:noProof/>
                    <w:webHidden/>
                  </w:rPr>
                  <w:t>5</w:t>
                </w:r>
                <w:r w:rsidR="006201F7" w:rsidRPr="00435F46">
                  <w:rPr>
                    <w:rFonts w:ascii="Marianne" w:hAnsi="Marianne"/>
                    <w:noProof/>
                    <w:webHidden/>
                  </w:rPr>
                  <w:fldChar w:fldCharType="end"/>
                </w:r>
              </w:hyperlink>
              <w:r w:rsidR="006201F7" w:rsidRPr="00435F46">
                <w:rPr>
                  <w:rFonts w:ascii="Marianne" w:hAnsi="Marianne"/>
                  <w:b/>
                  <w:bCs/>
                </w:rPr>
                <w:fldChar w:fldCharType="end"/>
              </w:r>
            </w:p>
          </w:sdtContent>
        </w:sdt>
        <w:p w14:paraId="2A211424" w14:textId="520E6B9D" w:rsidR="00435F46" w:rsidRDefault="00435F46">
          <w:pPr>
            <w:rPr>
              <w:rFonts w:ascii="Marianne" w:hAnsi="Marianne" w:cs="Times New Roman"/>
              <w:bCs/>
            </w:rPr>
          </w:pPr>
          <w:r>
            <w:rPr>
              <w:rFonts w:ascii="Marianne" w:hAnsi="Marianne" w:cs="Times New Roman"/>
              <w:bCs/>
            </w:rPr>
            <w:br w:type="page"/>
          </w:r>
        </w:p>
        <w:p w14:paraId="3D1036D4" w14:textId="5A45281F" w:rsidR="00C67A24" w:rsidRPr="00435F46" w:rsidRDefault="008C4585" w:rsidP="00C67A24">
          <w:pPr>
            <w:rPr>
              <w:rFonts w:ascii="Marianne" w:hAnsi="Marianne" w:cs="Times New Roman"/>
              <w:bCs/>
            </w:rPr>
          </w:pPr>
        </w:p>
      </w:sdtContent>
    </w:sdt>
    <w:p w14:paraId="694B6B45" w14:textId="6C8E91EF" w:rsidR="007B76BB" w:rsidRPr="00F9783C" w:rsidRDefault="00197CDA" w:rsidP="00986EFB">
      <w:pPr>
        <w:pStyle w:val="Titre1"/>
        <w:numPr>
          <w:ilvl w:val="0"/>
          <w:numId w:val="9"/>
        </w:numPr>
        <w:spacing w:before="120" w:after="120"/>
        <w:rPr>
          <w:rFonts w:ascii="Marianne" w:hAnsi="Marianne" w:cstheme="minorHAnsi"/>
          <w:b/>
          <w:color w:val="000000" w:themeColor="text1"/>
          <w:sz w:val="22"/>
          <w:u w:val="single"/>
        </w:rPr>
      </w:pPr>
      <w:bookmarkStart w:id="0" w:name="_Toc224204528"/>
      <w:r w:rsidRPr="00F9783C">
        <w:rPr>
          <w:rFonts w:ascii="Marianne" w:hAnsi="Marianne" w:cstheme="minorHAnsi"/>
          <w:b/>
          <w:color w:val="000000" w:themeColor="text1"/>
          <w:sz w:val="22"/>
          <w:u w:val="single"/>
        </w:rPr>
        <w:t>Création/révision des fiches d’opérations standardisées</w:t>
      </w:r>
      <w:bookmarkEnd w:id="0"/>
    </w:p>
    <w:p w14:paraId="0D5F1F0B" w14:textId="16907402" w:rsidR="007B76BB" w:rsidRPr="00F9783C" w:rsidRDefault="00197CDA" w:rsidP="00986EFB">
      <w:pPr>
        <w:pStyle w:val="Titre2"/>
        <w:numPr>
          <w:ilvl w:val="1"/>
          <w:numId w:val="9"/>
        </w:numPr>
      </w:pPr>
      <w:bookmarkStart w:id="1" w:name="_Toc224204529"/>
      <w:r w:rsidRPr="00F9783C">
        <w:t>Prérequis à la création d’une fiche d’opération standardisée</w:t>
      </w:r>
      <w:bookmarkEnd w:id="1"/>
    </w:p>
    <w:p w14:paraId="1536AED5" w14:textId="77777777" w:rsidR="007B76BB" w:rsidRPr="00F9783C" w:rsidRDefault="00197CDA">
      <w:pPr>
        <w:jc w:val="both"/>
        <w:rPr>
          <w:rFonts w:ascii="Marianne" w:hAnsi="Marianne"/>
        </w:rPr>
      </w:pPr>
      <w:r w:rsidRPr="00F9783C">
        <w:rPr>
          <w:rFonts w:ascii="Marianne" w:hAnsi="Marianne"/>
        </w:rPr>
        <w:t>Pour qu’une fiche d’opération standardisée puisse être envisagée, les conditions suivantes doivent être réunies :</w:t>
      </w:r>
    </w:p>
    <w:p w14:paraId="6DDDDFF1" w14:textId="432984A4" w:rsidR="007B76BB" w:rsidRPr="00F9783C" w:rsidRDefault="00197CDA" w:rsidP="00F9783C">
      <w:pPr>
        <w:jc w:val="both"/>
        <w:rPr>
          <w:rFonts w:ascii="Marianne" w:hAnsi="Marianne"/>
        </w:rPr>
      </w:pPr>
      <w:r w:rsidRPr="00F9783C">
        <w:rPr>
          <w:rFonts w:ascii="Marianne" w:hAnsi="Marianne"/>
        </w:rPr>
        <w:t xml:space="preserve">i) </w:t>
      </w:r>
      <w:r w:rsidR="001276A4" w:rsidRPr="00F9783C">
        <w:rPr>
          <w:rFonts w:ascii="Marianne" w:hAnsi="Marianne"/>
        </w:rPr>
        <w:t>L</w:t>
      </w:r>
      <w:r w:rsidRPr="00F9783C">
        <w:rPr>
          <w:rFonts w:ascii="Marianne" w:hAnsi="Marianne"/>
        </w:rPr>
        <w:t>a solution doit être mature</w:t>
      </w:r>
      <w:r w:rsidR="001276A4" w:rsidRPr="00F9783C">
        <w:rPr>
          <w:rFonts w:ascii="Marianne" w:hAnsi="Marianne"/>
        </w:rPr>
        <w:t xml:space="preserve"> sur le plan technologique</w:t>
      </w:r>
      <w:r w:rsidRPr="00F9783C">
        <w:rPr>
          <w:rFonts w:ascii="Marianne" w:hAnsi="Marianne"/>
        </w:rPr>
        <w:t>,</w:t>
      </w:r>
      <w:r w:rsidR="001276A4" w:rsidRPr="00F9783C">
        <w:rPr>
          <w:rFonts w:ascii="Marianne" w:hAnsi="Marianne"/>
        </w:rPr>
        <w:t xml:space="preserve"> </w:t>
      </w:r>
      <w:r w:rsidRPr="00F9783C">
        <w:rPr>
          <w:rFonts w:ascii="Marianne" w:hAnsi="Marianne"/>
        </w:rPr>
        <w:t>ambitieuse en termes de performance énergétique par rapport à la moyenne du marché</w:t>
      </w:r>
      <w:r w:rsidRPr="004664FF">
        <w:rPr>
          <w:rFonts w:ascii="Marianne" w:hAnsi="Marianne"/>
          <w:vertAlign w:val="superscript"/>
        </w:rPr>
        <w:footnoteReference w:id="1"/>
      </w:r>
      <w:r w:rsidR="001276A4" w:rsidRPr="00F9783C">
        <w:rPr>
          <w:rFonts w:ascii="Marianne" w:hAnsi="Marianne"/>
        </w:rPr>
        <w:t xml:space="preserve"> </w:t>
      </w:r>
      <w:r w:rsidRPr="00F9783C">
        <w:rPr>
          <w:rFonts w:ascii="Marianne" w:hAnsi="Marianne"/>
        </w:rPr>
        <w:t>et proposée par plusieurs fournisseurs ;</w:t>
      </w:r>
    </w:p>
    <w:p w14:paraId="73E51416" w14:textId="77777777" w:rsidR="007B76BB" w:rsidRPr="00F9783C" w:rsidRDefault="00197CDA" w:rsidP="00F9783C">
      <w:pPr>
        <w:jc w:val="both"/>
        <w:rPr>
          <w:rFonts w:ascii="Marianne" w:hAnsi="Marianne"/>
        </w:rPr>
      </w:pPr>
      <w:r w:rsidRPr="00F9783C">
        <w:rPr>
          <w:rFonts w:ascii="Marianne" w:hAnsi="Marianne"/>
        </w:rPr>
        <w:t>ii) Des données techniques et économiques robustes, représentatives et référencées doivent justifier les calculs ;</w:t>
      </w:r>
    </w:p>
    <w:p w14:paraId="364093CB" w14:textId="7EAFAE38" w:rsidR="007B76BB" w:rsidRPr="00F9783C" w:rsidRDefault="00197CDA" w:rsidP="00F9783C">
      <w:pPr>
        <w:jc w:val="both"/>
        <w:rPr>
          <w:rFonts w:ascii="Marianne" w:hAnsi="Marianne"/>
        </w:rPr>
      </w:pPr>
      <w:r w:rsidRPr="00F9783C">
        <w:rPr>
          <w:rFonts w:ascii="Marianne" w:hAnsi="Marianne"/>
        </w:rPr>
        <w:t>iii) Des acteurs représentatifs du secteur</w:t>
      </w:r>
      <w:r w:rsidR="001276A4" w:rsidRPr="00F9783C">
        <w:rPr>
          <w:rFonts w:ascii="Marianne" w:hAnsi="Marianne"/>
        </w:rPr>
        <w:t xml:space="preserve"> (</w:t>
      </w:r>
      <w:r w:rsidR="00FE7B09" w:rsidRPr="00F9783C">
        <w:rPr>
          <w:rFonts w:ascii="Marianne" w:hAnsi="Marianne"/>
        </w:rPr>
        <w:t xml:space="preserve">fabricants, </w:t>
      </w:r>
      <w:r w:rsidR="001276A4" w:rsidRPr="00F9783C">
        <w:rPr>
          <w:rFonts w:ascii="Marianne" w:hAnsi="Marianne"/>
        </w:rPr>
        <w:t>fournisseurs de technologie, vendeurs, fournisseurs de services associés à l’opération, etc.)</w:t>
      </w:r>
      <w:r w:rsidRPr="00F9783C">
        <w:rPr>
          <w:rFonts w:ascii="Marianne" w:hAnsi="Marianne"/>
        </w:rPr>
        <w:t xml:space="preserve"> </w:t>
      </w:r>
      <w:r w:rsidR="001276A4" w:rsidRPr="00F9783C">
        <w:rPr>
          <w:rFonts w:ascii="Marianne" w:hAnsi="Marianne"/>
        </w:rPr>
        <w:t>sont prêts à s’impliquer activement pour partager des données et contribuer à la rédaction de la fiche</w:t>
      </w:r>
      <w:r w:rsidR="001276A4" w:rsidRPr="004664FF">
        <w:rPr>
          <w:rFonts w:ascii="Marianne" w:hAnsi="Marianne"/>
          <w:vertAlign w:val="superscript"/>
        </w:rPr>
        <w:footnoteReference w:id="2"/>
      </w:r>
      <w:r w:rsidR="001276A4" w:rsidRPr="00F9783C">
        <w:rPr>
          <w:rFonts w:ascii="Marianne" w:hAnsi="Marianne"/>
        </w:rPr>
        <w:t>.</w:t>
      </w:r>
      <w:r w:rsidRPr="00F9783C">
        <w:rPr>
          <w:rFonts w:ascii="Marianne" w:hAnsi="Marianne"/>
        </w:rPr>
        <w:t xml:space="preserve"> </w:t>
      </w:r>
    </w:p>
    <w:p w14:paraId="557F68C1" w14:textId="5F0DB033" w:rsidR="007B76BB" w:rsidRPr="00F9783C" w:rsidRDefault="00D636DA">
      <w:pPr>
        <w:jc w:val="both"/>
        <w:rPr>
          <w:rFonts w:ascii="Marianne" w:hAnsi="Marianne"/>
        </w:rPr>
      </w:pPr>
      <w:r w:rsidRPr="00F9783C">
        <w:rPr>
          <w:rFonts w:ascii="Marianne" w:hAnsi="Marianne"/>
        </w:rPr>
        <w:t>De plus</w:t>
      </w:r>
      <w:r w:rsidR="001276A4" w:rsidRPr="00F9783C">
        <w:rPr>
          <w:rFonts w:ascii="Marianne" w:hAnsi="Marianne"/>
        </w:rPr>
        <w:t xml:space="preserve">, une </w:t>
      </w:r>
      <w:r w:rsidR="00197CDA" w:rsidRPr="00F9783C">
        <w:rPr>
          <w:rFonts w:ascii="Marianne" w:hAnsi="Marianne"/>
        </w:rPr>
        <w:t xml:space="preserve">fiche d’opération standardisée relative à des opérations induisant des coûts d’investissement ne </w:t>
      </w:r>
      <w:r w:rsidR="001276A4" w:rsidRPr="00F9783C">
        <w:rPr>
          <w:rFonts w:ascii="Marianne" w:hAnsi="Marianne"/>
        </w:rPr>
        <w:t xml:space="preserve">peut </w:t>
      </w:r>
      <w:r w:rsidR="00197CDA" w:rsidRPr="00F9783C">
        <w:rPr>
          <w:rFonts w:ascii="Marianne" w:hAnsi="Marianne"/>
        </w:rPr>
        <w:t>pas être créée si le gisement annuel technico-économique qu’il représente pour le segment de marché visé est faible et le taux de couverture est insuffisant pour contribuer à la décision de déclencher une opération.</w:t>
      </w:r>
      <w:r w:rsidR="001276A4" w:rsidRPr="00F9783C">
        <w:rPr>
          <w:rFonts w:ascii="Marianne" w:hAnsi="Marianne"/>
        </w:rPr>
        <w:t xml:space="preserve"> Le gisement technico-économique est estimé en considérant le volume de CEE qui seraient théoriquement délivrés si la quasi-totalité du marché adoptait la solution </w:t>
      </w:r>
      <w:r w:rsidR="00AC65CB" w:rsidRPr="00F9783C">
        <w:rPr>
          <w:rFonts w:ascii="Marianne" w:hAnsi="Marianne"/>
        </w:rPr>
        <w:t>en question</w:t>
      </w:r>
      <w:r w:rsidR="001276A4" w:rsidRPr="00F9783C">
        <w:rPr>
          <w:rFonts w:ascii="Marianne" w:hAnsi="Marianne"/>
        </w:rPr>
        <w:t xml:space="preserve"> (ce gisement est exprimé en valeur total</w:t>
      </w:r>
      <w:r w:rsidR="00AC65CB" w:rsidRPr="00F9783C">
        <w:rPr>
          <w:rFonts w:ascii="Marianne" w:hAnsi="Marianne"/>
        </w:rPr>
        <w:t>e</w:t>
      </w:r>
      <w:r w:rsidR="001276A4" w:rsidRPr="00F9783C">
        <w:rPr>
          <w:rFonts w:ascii="Marianne" w:hAnsi="Marianne"/>
        </w:rPr>
        <w:t>, et estimé à une maille annuelle en considérant des hypothèses de mise en œuvre des opérations).</w:t>
      </w:r>
    </w:p>
    <w:p w14:paraId="25725CA6" w14:textId="5F67D900" w:rsidR="007B39DD" w:rsidRDefault="007B39DD" w:rsidP="007B39DD">
      <w:pPr>
        <w:jc w:val="both"/>
        <w:rPr>
          <w:rFonts w:ascii="Marianne" w:hAnsi="Marianne"/>
        </w:rPr>
      </w:pPr>
      <w:r w:rsidRPr="00F9783C">
        <w:rPr>
          <w:rFonts w:ascii="Marianne" w:hAnsi="Marianne"/>
        </w:rPr>
        <w:t>Les nouvelles fiches doivent être cohérentes avec les objectifs de la planification écologique, déclinés dans la Programmation pluriannuelle de l’énergie (PPE) et la Stratégie nationale bas carbone (SBNC)</w:t>
      </w:r>
      <w:r w:rsidR="00C42096" w:rsidRPr="00F9783C">
        <w:rPr>
          <w:rFonts w:ascii="Marianne" w:hAnsi="Marianne"/>
        </w:rPr>
        <w:t>.</w:t>
      </w:r>
      <w:r w:rsidR="00067F84" w:rsidRPr="00F9783C">
        <w:rPr>
          <w:rFonts w:ascii="Marianne" w:hAnsi="Marianne"/>
        </w:rPr>
        <w:t xml:space="preserve"> L’électrification étant à la fois un important facteur d’efficacité énergétique et une priorité de la politique énergétique conduite par le Gouvernement, les nouvelles fiches doivent prioritairement soutenir l’électrification des usages</w:t>
      </w:r>
      <w:r w:rsidRPr="00F9783C">
        <w:rPr>
          <w:rFonts w:ascii="Marianne" w:hAnsi="Marianne"/>
        </w:rPr>
        <w:t>.</w:t>
      </w:r>
    </w:p>
    <w:p w14:paraId="13E29034" w14:textId="7193D77F" w:rsidR="007B76BB" w:rsidRDefault="00197CDA" w:rsidP="00986EFB">
      <w:pPr>
        <w:pStyle w:val="Titre2"/>
        <w:numPr>
          <w:ilvl w:val="1"/>
          <w:numId w:val="8"/>
        </w:numPr>
      </w:pPr>
      <w:bookmarkStart w:id="2" w:name="_Toc224204530"/>
      <w:r w:rsidRPr="00F9783C">
        <w:t>Forfait de CEE d’une fiche</w:t>
      </w:r>
      <w:bookmarkEnd w:id="2"/>
    </w:p>
    <w:p w14:paraId="75C2D76E" w14:textId="4DF572BA" w:rsidR="007B76BB" w:rsidRPr="00F9783C" w:rsidRDefault="00197CDA" w:rsidP="0071582F">
      <w:pPr>
        <w:jc w:val="both"/>
        <w:rPr>
          <w:rFonts w:ascii="Marianne" w:hAnsi="Marianne"/>
        </w:rPr>
      </w:pPr>
      <w:r w:rsidRPr="00F9783C">
        <w:rPr>
          <w:rFonts w:ascii="Marianne" w:hAnsi="Marianne"/>
        </w:rPr>
        <w:t xml:space="preserve">Le forfait de CEE d’une fiche donne la valeur des économies d’énergie finale de </w:t>
      </w:r>
      <w:r w:rsidR="00FF60D4" w:rsidRPr="00F9783C">
        <w:rPr>
          <w:rFonts w:ascii="Marianne" w:hAnsi="Marianne"/>
        </w:rPr>
        <w:t>l’</w:t>
      </w:r>
      <w:r w:rsidRPr="00F9783C">
        <w:rPr>
          <w:rFonts w:ascii="Marianne" w:hAnsi="Marianne"/>
        </w:rPr>
        <w:t>opération d’économies d’énergie liée à cette fiche. Il est exprimé en unité d’économies d’énergie cumulées et actualisées (en kWhc). Il est fondé</w:t>
      </w:r>
      <w:r w:rsidR="0029472E" w:rsidRPr="00F9783C">
        <w:rPr>
          <w:rFonts w:ascii="Marianne" w:hAnsi="Marianne"/>
        </w:rPr>
        <w:t xml:space="preserve"> sur une estimation </w:t>
      </w:r>
      <w:r w:rsidR="00D5039C" w:rsidRPr="00F9783C">
        <w:rPr>
          <w:rFonts w:ascii="Marianne" w:hAnsi="Marianne"/>
        </w:rPr>
        <w:t xml:space="preserve">conventionnelle </w:t>
      </w:r>
      <w:r w:rsidR="0029472E" w:rsidRPr="00F9783C">
        <w:rPr>
          <w:rFonts w:ascii="Marianne" w:hAnsi="Marianne"/>
        </w:rPr>
        <w:t xml:space="preserve">des économies d’énergies générées par rapport la situation de référence, </w:t>
      </w:r>
      <w:r w:rsidR="0071582F" w:rsidRPr="00F9783C">
        <w:rPr>
          <w:rFonts w:ascii="Marianne" w:hAnsi="Marianne"/>
        </w:rPr>
        <w:t xml:space="preserve">cette dernière étant définie à l'article R. 221-16 du code de l'énergie, </w:t>
      </w:r>
      <w:r w:rsidR="0029472E" w:rsidRPr="00F9783C">
        <w:rPr>
          <w:rFonts w:ascii="Marianne" w:hAnsi="Marianne"/>
        </w:rPr>
        <w:t xml:space="preserve">sur la base d’hypothèses issues de données </w:t>
      </w:r>
      <w:r w:rsidRPr="00F9783C">
        <w:rPr>
          <w:rFonts w:ascii="Marianne" w:hAnsi="Marianne"/>
        </w:rPr>
        <w:t xml:space="preserve">représentatives des opérations </w:t>
      </w:r>
      <w:r w:rsidRPr="00F9783C">
        <w:rPr>
          <w:rFonts w:ascii="Marianne" w:hAnsi="Marianne"/>
        </w:rPr>
        <w:lastRenderedPageBreak/>
        <w:t>concernées.</w:t>
      </w:r>
      <w:r w:rsidR="0029472E" w:rsidRPr="00F9783C">
        <w:rPr>
          <w:rFonts w:ascii="Marianne" w:hAnsi="Marianne"/>
        </w:rPr>
        <w:t xml:space="preserve"> Les économies d’énergie réalisées au cours de chaque année suivant la première sont actualisées en divisant par 1,04 les économies de l’année précédente (taux d’actualisation de 4</w:t>
      </w:r>
      <w:r w:rsidR="00CC4EF5">
        <w:rPr>
          <w:rFonts w:ascii="Marianne" w:hAnsi="Marianne"/>
        </w:rPr>
        <w:t> </w:t>
      </w:r>
      <w:r w:rsidR="0029472E" w:rsidRPr="00F9783C">
        <w:rPr>
          <w:rFonts w:ascii="Marianne" w:hAnsi="Marianne"/>
        </w:rPr>
        <w:t>%)</w:t>
      </w:r>
      <w:r w:rsidR="00E02FDA" w:rsidRPr="00F9783C">
        <w:rPr>
          <w:rFonts w:ascii="Marianne" w:hAnsi="Marianne"/>
        </w:rPr>
        <w:t>, sur la durée de vie conventionnelle de l’opération qui est précisée dans chaque fiche.</w:t>
      </w:r>
    </w:p>
    <w:p w14:paraId="3DDDB68B" w14:textId="7F4B8FA0" w:rsidR="00E92251" w:rsidRPr="00F9783C" w:rsidRDefault="00197CDA">
      <w:pPr>
        <w:jc w:val="both"/>
        <w:rPr>
          <w:rFonts w:ascii="Marianne" w:hAnsi="Marianne"/>
        </w:rPr>
      </w:pPr>
      <w:r w:rsidRPr="00F9783C">
        <w:rPr>
          <w:rFonts w:ascii="Marianne" w:hAnsi="Marianne"/>
        </w:rPr>
        <w:t xml:space="preserve">Ce calcul doit s’efforcer d’être proche des économies d’énergie « réelles » tout en s’appuyant sur des paramètres caractéristiques de l’opération difficilement falsifiables et facilement contrôlables. Cela peut conduire à moyenner certains </w:t>
      </w:r>
      <w:r w:rsidR="0029472E" w:rsidRPr="00F9783C">
        <w:rPr>
          <w:rFonts w:ascii="Marianne" w:hAnsi="Marianne"/>
        </w:rPr>
        <w:t>paramètres (par exemple</w:t>
      </w:r>
      <w:r w:rsidR="006300C8" w:rsidRPr="00F9783C">
        <w:rPr>
          <w:rFonts w:ascii="Marianne" w:hAnsi="Marianne"/>
        </w:rPr>
        <w:t xml:space="preserve"> : </w:t>
      </w:r>
      <w:r w:rsidR="0029472E" w:rsidRPr="00F9783C">
        <w:rPr>
          <w:rFonts w:ascii="Marianne" w:hAnsi="Marianne"/>
        </w:rPr>
        <w:t xml:space="preserve">surface, types d’usages, nombre d’heures de fonctionnement, etc.) </w:t>
      </w:r>
      <w:r w:rsidRPr="00F9783C">
        <w:rPr>
          <w:rFonts w:ascii="Marianne" w:hAnsi="Marianne"/>
        </w:rPr>
        <w:t>au bénéfice de la lisibilité et de la lutte contre la fraude.</w:t>
      </w:r>
    </w:p>
    <w:p w14:paraId="62C37BD7" w14:textId="30797080" w:rsidR="007B76BB" w:rsidRPr="00F9783C" w:rsidRDefault="00197CDA">
      <w:pPr>
        <w:jc w:val="both"/>
        <w:rPr>
          <w:rFonts w:ascii="Marianne" w:hAnsi="Marianne"/>
        </w:rPr>
      </w:pPr>
      <w:r w:rsidRPr="00F9783C">
        <w:rPr>
          <w:rFonts w:ascii="Marianne" w:hAnsi="Marianne"/>
        </w:rPr>
        <w:t>Les paramètres des fiches d’opérations standardisées permettant le calcul du montant de CEE doivent être plafonnés.</w:t>
      </w:r>
    </w:p>
    <w:p w14:paraId="0072D0FC" w14:textId="49C534E2" w:rsidR="00587B3C" w:rsidRPr="00F9783C" w:rsidRDefault="00197CDA">
      <w:pPr>
        <w:jc w:val="both"/>
        <w:rPr>
          <w:rFonts w:ascii="Marianne" w:hAnsi="Marianne"/>
        </w:rPr>
      </w:pPr>
      <w:r w:rsidRPr="00F9783C">
        <w:rPr>
          <w:rFonts w:ascii="Marianne" w:hAnsi="Marianne"/>
        </w:rPr>
        <w:t>Bien que le forfait ne s’exprime pas en euros, le calcul du taux de couverture et du temps de retour sur investissement est systématiquement prévu</w:t>
      </w:r>
      <w:r w:rsidR="0029472E" w:rsidRPr="00F9783C">
        <w:rPr>
          <w:rFonts w:ascii="Marianne" w:hAnsi="Marianne"/>
        </w:rPr>
        <w:t xml:space="preserve"> dans les travaux préparatoire</w:t>
      </w:r>
      <w:r w:rsidR="004C252C" w:rsidRPr="00F9783C">
        <w:rPr>
          <w:rFonts w:ascii="Marianne" w:hAnsi="Marianne"/>
        </w:rPr>
        <w:t>s à la création</w:t>
      </w:r>
      <w:r w:rsidR="0029472E" w:rsidRPr="00F9783C">
        <w:rPr>
          <w:rFonts w:ascii="Marianne" w:hAnsi="Marianne"/>
        </w:rPr>
        <w:t xml:space="preserve"> </w:t>
      </w:r>
      <w:r w:rsidR="004C252C" w:rsidRPr="00F9783C">
        <w:rPr>
          <w:rFonts w:ascii="Marianne" w:hAnsi="Marianne"/>
        </w:rPr>
        <w:t xml:space="preserve">d’une </w:t>
      </w:r>
      <w:r w:rsidR="0029472E" w:rsidRPr="00F9783C">
        <w:rPr>
          <w:rFonts w:ascii="Marianne" w:hAnsi="Marianne"/>
        </w:rPr>
        <w:t>fiche</w:t>
      </w:r>
      <w:r w:rsidRPr="00F9783C">
        <w:rPr>
          <w:rFonts w:ascii="Marianne" w:hAnsi="Marianne"/>
        </w:rPr>
        <w:t xml:space="preserve"> pour assurer l’additionnalité des aides CEE, et maximiser l’effet déclencheur du dispositif. </w:t>
      </w:r>
      <w:r w:rsidR="0029472E" w:rsidRPr="00F9783C">
        <w:rPr>
          <w:rFonts w:ascii="Marianne" w:hAnsi="Marianne"/>
        </w:rPr>
        <w:t xml:space="preserve">Par exemple, une fiche </w:t>
      </w:r>
      <w:r w:rsidR="0089340B" w:rsidRPr="00F9783C">
        <w:rPr>
          <w:rFonts w:ascii="Marianne" w:hAnsi="Marianne"/>
        </w:rPr>
        <w:t xml:space="preserve">dont la conversion du forfait en prime </w:t>
      </w:r>
      <w:r w:rsidR="0029472E" w:rsidRPr="00F9783C">
        <w:rPr>
          <w:rFonts w:ascii="Marianne" w:hAnsi="Marianne"/>
        </w:rPr>
        <w:t>condui</w:t>
      </w:r>
      <w:r w:rsidR="00F016CE" w:rsidRPr="00F9783C">
        <w:rPr>
          <w:rFonts w:ascii="Marianne" w:hAnsi="Marianne"/>
        </w:rPr>
        <w:t>rait</w:t>
      </w:r>
      <w:r w:rsidR="0029472E" w:rsidRPr="00F9783C">
        <w:rPr>
          <w:rFonts w:ascii="Marianne" w:hAnsi="Marianne"/>
        </w:rPr>
        <w:t xml:space="preserve"> à un taux de couverture des coûts de 2 ou 3</w:t>
      </w:r>
      <w:r w:rsidR="007E15C5" w:rsidRPr="00F9783C">
        <w:rPr>
          <w:rFonts w:ascii="Marianne" w:hAnsi="Marianne"/>
        </w:rPr>
        <w:t> </w:t>
      </w:r>
      <w:r w:rsidR="0029472E" w:rsidRPr="00F9783C">
        <w:rPr>
          <w:rFonts w:ascii="Marianne" w:hAnsi="Marianne"/>
        </w:rPr>
        <w:t xml:space="preserve">% sera peu susceptible de générer un passage à l’action. </w:t>
      </w:r>
      <w:r w:rsidR="00587B3C" w:rsidRPr="00F9783C">
        <w:rPr>
          <w:rFonts w:ascii="Marianne" w:hAnsi="Marianne"/>
        </w:rPr>
        <w:t xml:space="preserve">Dans un tel cas, il pourra être décidé de ne pas créer/de supprimer la fiche ou de lui attribuer </w:t>
      </w:r>
      <w:r w:rsidR="0010637C" w:rsidRPr="00F9783C">
        <w:rPr>
          <w:rFonts w:ascii="Marianne" w:hAnsi="Marianne"/>
        </w:rPr>
        <w:t>une pondération/bonification</w:t>
      </w:r>
      <w:r w:rsidR="00587B3C" w:rsidRPr="00F9783C">
        <w:rPr>
          <w:rFonts w:ascii="Marianne" w:hAnsi="Marianne"/>
        </w:rPr>
        <w:t xml:space="preserve"> pour qu’elle devienne suffisamment incitative. A l’inverse, une fiche dont les paramètres conduisent structurellement (coût faible, mais volume important d’économies d’énergies) à ce qu</w:t>
      </w:r>
      <w:r w:rsidR="00D033D0" w:rsidRPr="00F9783C">
        <w:rPr>
          <w:rFonts w:ascii="Marianne" w:hAnsi="Marianne"/>
        </w:rPr>
        <w:t>e le forfait</w:t>
      </w:r>
      <w:r w:rsidR="00587B3C" w:rsidRPr="00F9783C">
        <w:rPr>
          <w:rFonts w:ascii="Marianne" w:hAnsi="Marianne"/>
        </w:rPr>
        <w:t xml:space="preserve"> </w:t>
      </w:r>
      <w:r w:rsidR="00B11D7E" w:rsidRPr="00F9783C">
        <w:rPr>
          <w:rFonts w:ascii="Marianne" w:hAnsi="Marianne"/>
        </w:rPr>
        <w:t xml:space="preserve">permette </w:t>
      </w:r>
      <w:r w:rsidR="00587B3C" w:rsidRPr="00F9783C">
        <w:rPr>
          <w:rFonts w:ascii="Marianne" w:hAnsi="Marianne"/>
        </w:rPr>
        <w:t xml:space="preserve">un taux de couverture très élevé et/ou un temps de retour sur investissement très court, pourra ne pas être créé/supprimée, ou se voir attribuer un coefficient de </w:t>
      </w:r>
      <w:r w:rsidR="0010637C" w:rsidRPr="00F9783C">
        <w:rPr>
          <w:rFonts w:ascii="Marianne" w:hAnsi="Marianne"/>
        </w:rPr>
        <w:t>pondération/</w:t>
      </w:r>
      <w:r w:rsidR="00587B3C" w:rsidRPr="00F9783C">
        <w:rPr>
          <w:rFonts w:ascii="Marianne" w:hAnsi="Marianne"/>
        </w:rPr>
        <w:t>bonification du forfait compris entre 0 et 1, pour ne pas générer d’incitations inadaptées (malfaçon, etc.).</w:t>
      </w:r>
    </w:p>
    <w:p w14:paraId="4FC7F9E9" w14:textId="673956A7" w:rsidR="007B76BB" w:rsidRPr="00F9783C" w:rsidRDefault="0029472E">
      <w:pPr>
        <w:jc w:val="both"/>
        <w:rPr>
          <w:rFonts w:ascii="Marianne" w:hAnsi="Marianne"/>
        </w:rPr>
      </w:pPr>
      <w:r w:rsidRPr="00F9783C">
        <w:rPr>
          <w:rFonts w:ascii="Marianne" w:hAnsi="Marianne"/>
        </w:rPr>
        <w:t>C</w:t>
      </w:r>
      <w:r w:rsidR="00197CDA" w:rsidRPr="00F9783C">
        <w:rPr>
          <w:rFonts w:ascii="Marianne" w:hAnsi="Marianne"/>
        </w:rPr>
        <w:t xml:space="preserve">es </w:t>
      </w:r>
      <w:r w:rsidR="00587B3C" w:rsidRPr="00F9783C">
        <w:rPr>
          <w:rFonts w:ascii="Marianne" w:hAnsi="Marianne"/>
        </w:rPr>
        <w:t xml:space="preserve">analyses </w:t>
      </w:r>
      <w:r w:rsidR="00197CDA" w:rsidRPr="00F9783C">
        <w:rPr>
          <w:rFonts w:ascii="Marianne" w:hAnsi="Marianne"/>
        </w:rPr>
        <w:t>incluent une évaluation du montant des éventuelles autres aides. Une étude de sensibilité des résultats est également prévue.</w:t>
      </w:r>
    </w:p>
    <w:p w14:paraId="7D110771" w14:textId="6CBE7430" w:rsidR="007B76BB" w:rsidRPr="00F9783C" w:rsidRDefault="00197CDA">
      <w:pPr>
        <w:jc w:val="both"/>
        <w:rPr>
          <w:rFonts w:ascii="Marianne" w:hAnsi="Marianne"/>
        </w:rPr>
      </w:pPr>
      <w:r w:rsidRPr="00F9783C">
        <w:rPr>
          <w:rFonts w:ascii="Marianne" w:hAnsi="Marianne"/>
        </w:rPr>
        <w:t>Les fiches en vigueur</w:t>
      </w:r>
      <w:r w:rsidR="00587B3C" w:rsidRPr="00F9783C">
        <w:rPr>
          <w:rFonts w:ascii="Marianne" w:hAnsi="Marianne"/>
        </w:rPr>
        <w:t xml:space="preserve"> impliquant un changement de vecteur </w:t>
      </w:r>
      <w:r w:rsidR="003011E9" w:rsidRPr="00F9783C">
        <w:rPr>
          <w:rFonts w:ascii="Marianne" w:hAnsi="Marianne"/>
        </w:rPr>
        <w:t xml:space="preserve">énergétique </w:t>
      </w:r>
      <w:r w:rsidR="00587B3C" w:rsidRPr="00F9783C">
        <w:rPr>
          <w:rFonts w:ascii="Marianne" w:hAnsi="Marianne"/>
        </w:rPr>
        <w:t>vers l’électricité</w:t>
      </w:r>
      <w:r w:rsidRPr="00F9783C">
        <w:rPr>
          <w:rFonts w:ascii="Marianne" w:hAnsi="Marianne"/>
        </w:rPr>
        <w:t xml:space="preserve"> seront </w:t>
      </w:r>
      <w:r w:rsidR="00587B3C" w:rsidRPr="00F9783C">
        <w:rPr>
          <w:rFonts w:ascii="Marianne" w:hAnsi="Marianne"/>
        </w:rPr>
        <w:t xml:space="preserve">par ailleurs </w:t>
      </w:r>
      <w:r w:rsidRPr="00F9783C">
        <w:rPr>
          <w:rFonts w:ascii="Marianne" w:hAnsi="Marianne"/>
        </w:rPr>
        <w:t>progressivement passées en « énergie finale intégrale », en commençant par les fiches relatives aux secteurs des transports et de l’industrie.</w:t>
      </w:r>
    </w:p>
    <w:p w14:paraId="1157844C" w14:textId="7BC78DDA" w:rsidR="007B76BB" w:rsidRPr="00986EFB" w:rsidRDefault="00197CDA" w:rsidP="00986EFB">
      <w:pPr>
        <w:pStyle w:val="Paragraphedeliste"/>
        <w:numPr>
          <w:ilvl w:val="1"/>
          <w:numId w:val="8"/>
        </w:numPr>
        <w:jc w:val="both"/>
        <w:rPr>
          <w:rFonts w:ascii="Marianne" w:hAnsi="Marianne" w:cs="Times New Roman"/>
          <w:b/>
        </w:rPr>
      </w:pPr>
      <w:r w:rsidRPr="00986EFB">
        <w:rPr>
          <w:rFonts w:ascii="Marianne" w:hAnsi="Marianne" w:cs="Times New Roman"/>
          <w:b/>
        </w:rPr>
        <w:t>Révision des fiches</w:t>
      </w:r>
    </w:p>
    <w:p w14:paraId="657B1007" w14:textId="7608A978" w:rsidR="007B76BB" w:rsidRPr="00986EFB" w:rsidRDefault="00197CDA">
      <w:pPr>
        <w:jc w:val="both"/>
        <w:rPr>
          <w:rFonts w:ascii="Marianne" w:hAnsi="Marianne"/>
        </w:rPr>
      </w:pPr>
      <w:r w:rsidRPr="00986EFB">
        <w:rPr>
          <w:rFonts w:ascii="Marianne" w:hAnsi="Marianne"/>
        </w:rPr>
        <w:t>Comme prévu par la réglementation, toute fiche d'opération standardisée créée ou modifiée à compter du 1</w:t>
      </w:r>
      <w:r w:rsidRPr="00986EFB">
        <w:rPr>
          <w:rFonts w:ascii="Marianne" w:hAnsi="Marianne"/>
          <w:vertAlign w:val="superscript"/>
        </w:rPr>
        <w:t>er</w:t>
      </w:r>
      <w:r w:rsidR="00986EFB">
        <w:rPr>
          <w:rFonts w:ascii="Marianne" w:hAnsi="Marianne"/>
        </w:rPr>
        <w:t xml:space="preserve"> </w:t>
      </w:r>
      <w:r w:rsidRPr="00986EFB">
        <w:rPr>
          <w:rFonts w:ascii="Marianne" w:hAnsi="Marianne"/>
        </w:rPr>
        <w:t>janvier 2022 et non modifiée dans un délai de cinq ans à compter de sa création ou de sa modification est abrogée de droit à l'expiration de ce délai. Cette date est rappelée dans chaque fiche, et une date plus proche que celle-ci est parfois fixée.</w:t>
      </w:r>
    </w:p>
    <w:p w14:paraId="3D22D421" w14:textId="6493B425" w:rsidR="007B76BB" w:rsidRPr="00986EFB" w:rsidRDefault="00197CDA">
      <w:pPr>
        <w:jc w:val="both"/>
        <w:rPr>
          <w:rFonts w:ascii="Marianne" w:hAnsi="Marianne"/>
        </w:rPr>
      </w:pPr>
      <w:r w:rsidRPr="00986EFB">
        <w:rPr>
          <w:rFonts w:ascii="Marianne" w:hAnsi="Marianne"/>
        </w:rPr>
        <w:lastRenderedPageBreak/>
        <w:t xml:space="preserve">La modification d’une fiche doit </w:t>
      </w:r>
      <w:r w:rsidR="00950726" w:rsidRPr="00986EFB">
        <w:rPr>
          <w:rFonts w:ascii="Marianne" w:hAnsi="Marianne"/>
        </w:rPr>
        <w:t xml:space="preserve">systématiquement </w:t>
      </w:r>
      <w:r w:rsidRPr="00986EFB">
        <w:rPr>
          <w:rFonts w:ascii="Marianne" w:hAnsi="Marianne"/>
        </w:rPr>
        <w:t xml:space="preserve">comporter une analyse de la situation de référence et des données </w:t>
      </w:r>
      <w:r w:rsidR="00E1566C" w:rsidRPr="00986EFB">
        <w:rPr>
          <w:rFonts w:ascii="Marianne" w:hAnsi="Marianne"/>
        </w:rPr>
        <w:t xml:space="preserve">initialement </w:t>
      </w:r>
      <w:r w:rsidRPr="00986EFB">
        <w:rPr>
          <w:rFonts w:ascii="Marianne" w:hAnsi="Marianne"/>
        </w:rPr>
        <w:t>utilisées pour le calcul du forfait de CEE, afin d’évaluer l’opportunité d’une révision de ce forfait.</w:t>
      </w:r>
    </w:p>
    <w:p w14:paraId="7C30CBED" w14:textId="477485E6" w:rsidR="007B76BB" w:rsidRPr="00986EFB" w:rsidRDefault="00197CDA">
      <w:pPr>
        <w:jc w:val="both"/>
        <w:rPr>
          <w:rFonts w:ascii="Marianne" w:hAnsi="Marianne"/>
        </w:rPr>
      </w:pPr>
      <w:r w:rsidRPr="00986EFB">
        <w:rPr>
          <w:rFonts w:ascii="Marianne" w:hAnsi="Marianne"/>
        </w:rPr>
        <w:t>Les productions du programme PRODICEE</w:t>
      </w:r>
      <w:r w:rsidR="0010637C" w:rsidRPr="00986EFB">
        <w:rPr>
          <w:rFonts w:ascii="Marianne" w:hAnsi="Marianne"/>
          <w:vertAlign w:val="superscript"/>
        </w:rPr>
        <w:footnoteReference w:id="3"/>
      </w:r>
      <w:r w:rsidRPr="00986EFB">
        <w:rPr>
          <w:rFonts w:ascii="Marianne" w:hAnsi="Marianne"/>
          <w:vertAlign w:val="superscript"/>
        </w:rPr>
        <w:t xml:space="preserve"> </w:t>
      </w:r>
      <w:r w:rsidRPr="00986EFB">
        <w:rPr>
          <w:rFonts w:ascii="Marianne" w:hAnsi="Marianne"/>
        </w:rPr>
        <w:t>relatives à une fiche en cours de révision doivent systématiquement être prises en compte dans le processus de révision, tant concernant l’actualisation du forfait de CEE que relativement aux critères d’éligibilité et, le cas échéant, au référentiel de contrôle associé.</w:t>
      </w:r>
    </w:p>
    <w:p w14:paraId="2E75BC2A" w14:textId="0E591DE0" w:rsidR="007B76BB" w:rsidRPr="007157A4" w:rsidRDefault="00197CDA" w:rsidP="007157A4">
      <w:pPr>
        <w:pStyle w:val="Titre1"/>
        <w:numPr>
          <w:ilvl w:val="0"/>
          <w:numId w:val="9"/>
        </w:numPr>
        <w:spacing w:before="120" w:after="120"/>
        <w:rPr>
          <w:rFonts w:ascii="Marianne" w:hAnsi="Marianne" w:cstheme="minorHAnsi"/>
          <w:b/>
          <w:color w:val="000000" w:themeColor="text1"/>
          <w:sz w:val="22"/>
          <w:u w:val="single"/>
        </w:rPr>
      </w:pPr>
      <w:bookmarkStart w:id="3" w:name="_Toc224204531"/>
      <w:r w:rsidRPr="007157A4">
        <w:rPr>
          <w:rFonts w:ascii="Marianne" w:hAnsi="Marianne" w:cstheme="minorHAnsi"/>
          <w:b/>
          <w:color w:val="000000" w:themeColor="text1"/>
          <w:sz w:val="22"/>
          <w:u w:val="single"/>
        </w:rPr>
        <w:t>Les bonifications</w:t>
      </w:r>
      <w:bookmarkEnd w:id="3"/>
    </w:p>
    <w:p w14:paraId="75C06003" w14:textId="7B8F3318" w:rsidR="007B76BB" w:rsidRPr="007157A4" w:rsidRDefault="00197CDA" w:rsidP="007157A4">
      <w:pPr>
        <w:pStyle w:val="Paragraphedeliste"/>
        <w:numPr>
          <w:ilvl w:val="1"/>
          <w:numId w:val="10"/>
        </w:numPr>
        <w:jc w:val="both"/>
        <w:rPr>
          <w:rFonts w:ascii="Marianne" w:hAnsi="Marianne" w:cs="Times New Roman"/>
          <w:b/>
        </w:rPr>
      </w:pPr>
      <w:r w:rsidRPr="007157A4">
        <w:rPr>
          <w:rFonts w:ascii="Marianne" w:hAnsi="Marianne" w:cs="Times New Roman"/>
          <w:b/>
        </w:rPr>
        <w:t>Rappel du cadre général applicable aux bonifications</w:t>
      </w:r>
    </w:p>
    <w:p w14:paraId="70303B3D" w14:textId="77777777" w:rsidR="007B76BB" w:rsidRPr="007157A4" w:rsidRDefault="00197CDA">
      <w:pPr>
        <w:jc w:val="both"/>
        <w:rPr>
          <w:rFonts w:ascii="Marianne" w:hAnsi="Marianne"/>
        </w:rPr>
      </w:pPr>
      <w:r w:rsidRPr="007157A4">
        <w:rPr>
          <w:rFonts w:ascii="Marianne" w:hAnsi="Marianne"/>
        </w:rPr>
        <w:t>L’article L. 221-8 du code de l’énergie dispose, en son premier alinéa, que :</w:t>
      </w:r>
    </w:p>
    <w:p w14:paraId="055D7F96" w14:textId="77777777" w:rsidR="007B76BB" w:rsidRPr="007157A4" w:rsidRDefault="00197CDA">
      <w:pPr>
        <w:jc w:val="both"/>
        <w:rPr>
          <w:rFonts w:ascii="Marianne" w:hAnsi="Marianne"/>
        </w:rPr>
      </w:pPr>
      <w:r w:rsidRPr="007157A4">
        <w:rPr>
          <w:rFonts w:ascii="Marianne" w:hAnsi="Marianne"/>
        </w:rPr>
        <w:t>« </w:t>
      </w:r>
      <w:r w:rsidRPr="007157A4">
        <w:rPr>
          <w:rFonts w:ascii="Marianne" w:hAnsi="Marianne"/>
          <w:i/>
          <w:iCs/>
        </w:rPr>
        <w:t xml:space="preserve">Les certificats d'économies d'énergie sont des biens meubles négociables, dont l'unité de compte est le kilowattheure d'énergie finale économisé. Ils peuvent être détenus, acquis ou cédés par toute personne mentionnée aux 1° à 6° de l'article L. 221-7 ou par toute autre personne morale. Le nombre d'unités de compte est fonction des caractéristiques des biens, équipements, services, processus ou procédés utilisés pour réaliser les économies d'énergie et de l'état de leurs marchés à une date de référence fixe. Il peut être pondéré en fonction de </w:t>
      </w:r>
      <w:bookmarkStart w:id="4" w:name="_Hlk171525988"/>
      <w:r w:rsidRPr="007157A4">
        <w:rPr>
          <w:rFonts w:ascii="Marianne" w:hAnsi="Marianne"/>
          <w:i/>
          <w:iCs/>
        </w:rPr>
        <w:t xml:space="preserve">la nature des bénéficiaires des économies d'énergie, de la nature des actions d'économies d'énergie, des émissions de gaz à effet de serre évitées et de la situation énergétique de la zone géographique </w:t>
      </w:r>
      <w:bookmarkEnd w:id="4"/>
      <w:r w:rsidRPr="007157A4">
        <w:rPr>
          <w:rFonts w:ascii="Marianne" w:hAnsi="Marianne"/>
          <w:i/>
          <w:iCs/>
        </w:rPr>
        <w:t>où les économies sont réalisées. Il peut également être pondéré dans l'objectif de maintenir un temps minimal de retour sur investissement ou un reste minimal à la charge des bénéficiaires des économies d'énergie.</w:t>
      </w:r>
      <w:r w:rsidRPr="007157A4">
        <w:rPr>
          <w:rFonts w:ascii="Marianne" w:hAnsi="Marianne"/>
        </w:rPr>
        <w:t> »</w:t>
      </w:r>
    </w:p>
    <w:p w14:paraId="6EF44AAC" w14:textId="77777777" w:rsidR="007B76BB" w:rsidRPr="007157A4" w:rsidRDefault="00197CDA">
      <w:pPr>
        <w:jc w:val="both"/>
        <w:rPr>
          <w:rFonts w:ascii="Marianne" w:hAnsi="Marianne"/>
        </w:rPr>
      </w:pPr>
      <w:r w:rsidRPr="007157A4">
        <w:rPr>
          <w:rFonts w:ascii="Marianne" w:hAnsi="Marianne"/>
        </w:rPr>
        <w:t>Ainsi, les quatre critères pouvant être utilisés pour établir une bonification des CEE sont les suivants :</w:t>
      </w:r>
    </w:p>
    <w:p w14:paraId="2CE196A1" w14:textId="77777777" w:rsidR="007B76BB" w:rsidRPr="007157A4" w:rsidRDefault="00197CDA">
      <w:pPr>
        <w:ind w:left="283"/>
        <w:jc w:val="both"/>
        <w:rPr>
          <w:rFonts w:ascii="Marianne" w:hAnsi="Marianne" w:cs="Times New Roman"/>
        </w:rPr>
      </w:pPr>
      <w:r w:rsidRPr="007157A4">
        <w:rPr>
          <w:rFonts w:ascii="Marianne" w:hAnsi="Marianne" w:cs="Times New Roman"/>
        </w:rPr>
        <w:t>i) La nature des bénéficiaires des économies d'énergie,</w:t>
      </w:r>
    </w:p>
    <w:p w14:paraId="655C78ED" w14:textId="77777777" w:rsidR="007B76BB" w:rsidRPr="007157A4" w:rsidRDefault="00197CDA">
      <w:pPr>
        <w:ind w:left="283"/>
        <w:jc w:val="both"/>
        <w:rPr>
          <w:rFonts w:ascii="Marianne" w:hAnsi="Marianne" w:cs="Times New Roman"/>
        </w:rPr>
      </w:pPr>
      <w:r w:rsidRPr="007157A4">
        <w:rPr>
          <w:rFonts w:ascii="Marianne" w:hAnsi="Marianne" w:cs="Times New Roman"/>
        </w:rPr>
        <w:t>ii) La nature des actions d'économies d'énergie,</w:t>
      </w:r>
    </w:p>
    <w:p w14:paraId="2797FF28" w14:textId="77777777" w:rsidR="007B76BB" w:rsidRPr="007157A4" w:rsidRDefault="00197CDA">
      <w:pPr>
        <w:ind w:left="283"/>
        <w:jc w:val="both"/>
        <w:rPr>
          <w:rFonts w:ascii="Marianne" w:hAnsi="Marianne" w:cs="Times New Roman"/>
        </w:rPr>
      </w:pPr>
      <w:r w:rsidRPr="007157A4">
        <w:rPr>
          <w:rFonts w:ascii="Marianne" w:hAnsi="Marianne" w:cs="Times New Roman"/>
        </w:rPr>
        <w:t>iii) Les émissions de gaz à effet de serre évitées,</w:t>
      </w:r>
    </w:p>
    <w:p w14:paraId="0D2459F5" w14:textId="77777777" w:rsidR="007B76BB" w:rsidRPr="007157A4" w:rsidRDefault="00197CDA">
      <w:pPr>
        <w:ind w:left="283"/>
        <w:jc w:val="both"/>
        <w:rPr>
          <w:rFonts w:ascii="Marianne" w:hAnsi="Marianne" w:cs="Times New Roman"/>
        </w:rPr>
      </w:pPr>
      <w:r w:rsidRPr="007157A4">
        <w:rPr>
          <w:rFonts w:ascii="Marianne" w:hAnsi="Marianne" w:cs="Times New Roman"/>
        </w:rPr>
        <w:t>iv) La situation énergétique de la zone géographique.</w:t>
      </w:r>
    </w:p>
    <w:p w14:paraId="469BB6DD" w14:textId="13895ABE" w:rsidR="007B76BB" w:rsidRPr="007157A4" w:rsidRDefault="00197CDA">
      <w:pPr>
        <w:jc w:val="both"/>
        <w:rPr>
          <w:rFonts w:ascii="Marianne" w:hAnsi="Marianne"/>
        </w:rPr>
      </w:pPr>
      <w:r w:rsidRPr="007157A4">
        <w:rPr>
          <w:rFonts w:ascii="Marianne" w:hAnsi="Marianne"/>
        </w:rPr>
        <w:t>Le premier critère est celui qui est utilisé, par exemple, pour pondérer différemment les bonifications concernant le chauffage individuel selon que le ménage concerné par l’opération est, ou pas, considéré comme un ménage « modeste »</w:t>
      </w:r>
      <w:r w:rsidR="0010637C" w:rsidRPr="007157A4">
        <w:rPr>
          <w:rFonts w:ascii="Marianne" w:hAnsi="Marianne"/>
        </w:rPr>
        <w:t xml:space="preserve"> (</w:t>
      </w:r>
      <w:r w:rsidR="003D031C" w:rsidRPr="007157A4">
        <w:rPr>
          <w:rFonts w:ascii="Marianne" w:hAnsi="Marianne"/>
        </w:rPr>
        <w:t xml:space="preserve">au sens </w:t>
      </w:r>
      <w:r w:rsidR="0010637C" w:rsidRPr="007157A4">
        <w:rPr>
          <w:rFonts w:ascii="Marianne" w:hAnsi="Marianne"/>
        </w:rPr>
        <w:t xml:space="preserve">de l’article </w:t>
      </w:r>
      <w:r w:rsidR="0010637C" w:rsidRPr="007157A4">
        <w:rPr>
          <w:rFonts w:ascii="Marianne" w:hAnsi="Marianne"/>
        </w:rPr>
        <w:lastRenderedPageBreak/>
        <w:t>3-1 de l’arrêté du 29 décembre 2014 relatif aux modalités d'application du dispositif des certificats d'économies d'énergie)</w:t>
      </w:r>
      <w:r w:rsidRPr="007157A4">
        <w:rPr>
          <w:rFonts w:ascii="Marianne" w:hAnsi="Marianne"/>
        </w:rPr>
        <w:t>.</w:t>
      </w:r>
    </w:p>
    <w:p w14:paraId="5EC3123A" w14:textId="77777777" w:rsidR="007B76BB" w:rsidRPr="007157A4" w:rsidRDefault="00197CDA">
      <w:pPr>
        <w:jc w:val="both"/>
        <w:rPr>
          <w:rFonts w:ascii="Marianne" w:hAnsi="Marianne"/>
        </w:rPr>
      </w:pPr>
      <w:r w:rsidRPr="007157A4">
        <w:rPr>
          <w:rFonts w:ascii="Marianne" w:hAnsi="Marianne"/>
        </w:rPr>
        <w:t>Le deuxième critère permet, par exemple, d’octroyer une bonification pour les opérations faisant l’objet d’une rénovation d’ampleur accompagnée, ou d’une opération couverte par un contrat de performance énergétique strict.</w:t>
      </w:r>
    </w:p>
    <w:p w14:paraId="7C9F2205" w14:textId="77777777" w:rsidR="007B76BB" w:rsidRPr="007157A4" w:rsidRDefault="00197CDA">
      <w:pPr>
        <w:jc w:val="both"/>
        <w:rPr>
          <w:rFonts w:ascii="Marianne" w:hAnsi="Marianne"/>
        </w:rPr>
      </w:pPr>
      <w:r w:rsidRPr="007157A4">
        <w:rPr>
          <w:rFonts w:ascii="Marianne" w:hAnsi="Marianne"/>
        </w:rPr>
        <w:t>Le troisième critère est notamment utilisé pour pondérer différemment selon à la fois la nature de l’opération (installation d’une pompe à chaleur, par exemple) et la nature de l’équipement remplacé (remplacement d’une chaudière au charbon, au fioul ou au gaz, par exemple), pour viser celles qui conduisent à une plus grande réduction des émissions de gaz à effet serre.</w:t>
      </w:r>
    </w:p>
    <w:p w14:paraId="7FE909AE" w14:textId="77777777" w:rsidR="007B76BB" w:rsidRPr="007157A4" w:rsidRDefault="00197CDA">
      <w:pPr>
        <w:jc w:val="both"/>
        <w:rPr>
          <w:rFonts w:ascii="Marianne" w:hAnsi="Marianne"/>
        </w:rPr>
      </w:pPr>
      <w:r w:rsidRPr="007157A4">
        <w:rPr>
          <w:rFonts w:ascii="Marianne" w:hAnsi="Marianne"/>
        </w:rPr>
        <w:t>Le quatrième critère a conduit à la bonification des opérations pour les zones non interconnectées (ZNI) au réseau métropolitain continental.</w:t>
      </w:r>
    </w:p>
    <w:p w14:paraId="2A255FC2" w14:textId="6F300A6A" w:rsidR="007B76BB" w:rsidRPr="007157A4" w:rsidRDefault="00197CDA">
      <w:pPr>
        <w:jc w:val="both"/>
        <w:rPr>
          <w:rFonts w:ascii="Marianne" w:hAnsi="Marianne"/>
        </w:rPr>
      </w:pPr>
      <w:r w:rsidRPr="007157A4">
        <w:rPr>
          <w:rFonts w:ascii="Marianne" w:hAnsi="Marianne"/>
        </w:rPr>
        <w:t>La loi n°2025-594 du 30 juin 2025 contre toutes les fraudes aux aides publiques a par ailleurs ajouté la possibilité d’introduire des coefficients de pondération inférieurs à 1 afin de garantir un reste à charge minimal pour le bénéficiaire de la prime CEE</w:t>
      </w:r>
      <w:r w:rsidR="00BE0F0F" w:rsidRPr="007157A4">
        <w:rPr>
          <w:rFonts w:ascii="Marianne" w:hAnsi="Marianne"/>
        </w:rPr>
        <w:t xml:space="preserve"> et un temps de retour sur investissement minimal</w:t>
      </w:r>
      <w:r w:rsidR="0010637C" w:rsidRPr="007157A4">
        <w:rPr>
          <w:rFonts w:ascii="Marianne" w:hAnsi="Marianne"/>
        </w:rPr>
        <w:t xml:space="preserve"> (cf. article L.</w:t>
      </w:r>
      <w:r w:rsidR="00BE0F0F" w:rsidRPr="007157A4">
        <w:rPr>
          <w:rFonts w:ascii="Marianne" w:hAnsi="Marianne"/>
        </w:rPr>
        <w:t> </w:t>
      </w:r>
      <w:r w:rsidR="0010637C" w:rsidRPr="007157A4">
        <w:rPr>
          <w:rFonts w:ascii="Marianne" w:hAnsi="Marianne"/>
        </w:rPr>
        <w:t>221-8 du code de l’énergie ci-dessus)</w:t>
      </w:r>
      <w:r w:rsidRPr="007157A4">
        <w:rPr>
          <w:rFonts w:ascii="Marianne" w:hAnsi="Marianne"/>
        </w:rPr>
        <w:t>.</w:t>
      </w:r>
      <w:r w:rsidR="0010637C" w:rsidRPr="007157A4">
        <w:rPr>
          <w:rFonts w:ascii="Marianne" w:hAnsi="Marianne"/>
        </w:rPr>
        <w:t xml:space="preserve"> Cette évolution a également été reprise au niveau réglementaire à l’article R</w:t>
      </w:r>
      <w:r w:rsidR="00BE0F0F" w:rsidRPr="007157A4">
        <w:rPr>
          <w:rFonts w:ascii="Marianne" w:hAnsi="Marianne"/>
        </w:rPr>
        <w:t>. </w:t>
      </w:r>
      <w:r w:rsidR="0010637C" w:rsidRPr="007157A4">
        <w:rPr>
          <w:rFonts w:ascii="Marianne" w:hAnsi="Marianne"/>
        </w:rPr>
        <w:t xml:space="preserve">221-18 du code de l’énergie, qui prévoit que « Le volume des certificats d'économies d'énergie peut être pondéré en fonction de la nature des bénéficiaires des économies d'énergie, de la nature des actions d'économies d'énergie, des émissions de gaz à effet de serre évitées, de la situation énergétique de la zone géographique où les économies sont réalisées </w:t>
      </w:r>
      <w:r w:rsidR="0010637C" w:rsidRPr="007157A4">
        <w:rPr>
          <w:rFonts w:ascii="Marianne" w:hAnsi="Marianne"/>
          <w:b/>
          <w:bCs/>
        </w:rPr>
        <w:t>ainsi que dans l'objectif de maintenir un temps minimal de retour sur investissement ou un reste minimal à la charge des bénéficiaires des économies d'énergie, dans des conditions arrêtées par le ministre chargé de l'énergie</w:t>
      </w:r>
      <w:r w:rsidR="0010637C" w:rsidRPr="007157A4">
        <w:rPr>
          <w:rFonts w:ascii="Marianne" w:hAnsi="Marianne"/>
        </w:rPr>
        <w:t>. »</w:t>
      </w:r>
    </w:p>
    <w:p w14:paraId="35132152" w14:textId="3136DDB6" w:rsidR="0010637C" w:rsidRPr="007157A4" w:rsidRDefault="00197CDA" w:rsidP="0010637C">
      <w:pPr>
        <w:jc w:val="both"/>
        <w:rPr>
          <w:rFonts w:ascii="Marianne" w:hAnsi="Marianne"/>
        </w:rPr>
      </w:pPr>
      <w:r w:rsidRPr="007157A4">
        <w:rPr>
          <w:rFonts w:ascii="Marianne" w:hAnsi="Marianne"/>
        </w:rPr>
        <w:t xml:space="preserve">Les </w:t>
      </w:r>
      <w:r w:rsidR="00BE0F0F" w:rsidRPr="007157A4">
        <w:rPr>
          <w:rFonts w:ascii="Marianne" w:hAnsi="Marianne"/>
        </w:rPr>
        <w:t xml:space="preserve">volumes de CEE associés aux </w:t>
      </w:r>
      <w:r w:rsidRPr="007157A4">
        <w:rPr>
          <w:rFonts w:ascii="Marianne" w:hAnsi="Marianne"/>
        </w:rPr>
        <w:t xml:space="preserve">bonifications </w:t>
      </w:r>
      <w:r w:rsidR="0010637C" w:rsidRPr="007157A4">
        <w:rPr>
          <w:rFonts w:ascii="Marianne" w:hAnsi="Marianne"/>
        </w:rPr>
        <w:t>mise</w:t>
      </w:r>
      <w:r w:rsidR="00BE0F0F" w:rsidRPr="007157A4">
        <w:rPr>
          <w:rFonts w:ascii="Marianne" w:hAnsi="Marianne"/>
        </w:rPr>
        <w:t>s</w:t>
      </w:r>
      <w:r w:rsidR="0010637C" w:rsidRPr="007157A4">
        <w:rPr>
          <w:rFonts w:ascii="Marianne" w:hAnsi="Marianne"/>
        </w:rPr>
        <w:t xml:space="preserve"> en œuvre </w:t>
      </w:r>
      <w:r w:rsidR="000A4E61" w:rsidRPr="007157A4">
        <w:rPr>
          <w:rFonts w:ascii="Marianne" w:hAnsi="Marianne"/>
        </w:rPr>
        <w:t xml:space="preserve">en application </w:t>
      </w:r>
      <w:r w:rsidR="0010637C" w:rsidRPr="007157A4">
        <w:rPr>
          <w:rFonts w:ascii="Marianne" w:hAnsi="Marianne"/>
        </w:rPr>
        <w:t xml:space="preserve">de l’article L.221-8 du code de l’énergie </w:t>
      </w:r>
      <w:r w:rsidRPr="007157A4">
        <w:rPr>
          <w:rFonts w:ascii="Marianne" w:hAnsi="Marianne"/>
        </w:rPr>
        <w:t xml:space="preserve">ne peuvent pas être rapportées au niveau européen au titre </w:t>
      </w:r>
      <w:r w:rsidR="007E15C5" w:rsidRPr="007157A4">
        <w:rPr>
          <w:rFonts w:ascii="Marianne" w:hAnsi="Marianne"/>
        </w:rPr>
        <w:t xml:space="preserve">de la </w:t>
      </w:r>
      <w:r w:rsidR="0010637C" w:rsidRPr="007157A4">
        <w:rPr>
          <w:rFonts w:ascii="Marianne" w:hAnsi="Marianne"/>
        </w:rPr>
        <w:t>Directive (UE) 2023/1791 du Parlement européen et du Conseil du 13 septembre 2023 relative à l'efficacité énergétique</w:t>
      </w:r>
      <w:r w:rsidR="000A4E61" w:rsidRPr="007157A4">
        <w:rPr>
          <w:rFonts w:ascii="Marianne" w:hAnsi="Marianne"/>
        </w:rPr>
        <w:t xml:space="preserve"> dans la mesure où ils ne correspondent pas à des économies d’énergie réelles</w:t>
      </w:r>
      <w:r w:rsidR="0010637C" w:rsidRPr="007157A4">
        <w:rPr>
          <w:rFonts w:ascii="Marianne" w:hAnsi="Marianne"/>
        </w:rPr>
        <w:t>. Ces volumes ne sont donc à ce titre pas comptabilisés pour l’atteinte des objectifs de la France en matière d’économie</w:t>
      </w:r>
      <w:r w:rsidR="000A4E61" w:rsidRPr="007157A4">
        <w:rPr>
          <w:rFonts w:ascii="Marianne" w:hAnsi="Marianne"/>
        </w:rPr>
        <w:t>s</w:t>
      </w:r>
      <w:r w:rsidR="0010637C" w:rsidRPr="007157A4">
        <w:rPr>
          <w:rFonts w:ascii="Marianne" w:hAnsi="Marianne"/>
        </w:rPr>
        <w:t xml:space="preserve"> d’énergie. De ce fait, l’article R</w:t>
      </w:r>
      <w:r w:rsidR="000A4E61" w:rsidRPr="007157A4">
        <w:rPr>
          <w:rFonts w:ascii="Marianne" w:hAnsi="Marianne"/>
        </w:rPr>
        <w:t>.</w:t>
      </w:r>
      <w:r w:rsidR="0010637C" w:rsidRPr="007157A4">
        <w:rPr>
          <w:rFonts w:ascii="Marianne" w:hAnsi="Marianne"/>
        </w:rPr>
        <w:t xml:space="preserve"> 221-8 du code de l’énergie prévoit que : « les pondérations sont fixées de façon à permettre le respect des objectifs de l'article 8 de cette directive ».</w:t>
      </w:r>
    </w:p>
    <w:p w14:paraId="3F7AA342" w14:textId="3BE13FB9" w:rsidR="007B76BB" w:rsidRPr="007157A4" w:rsidRDefault="00197CDA">
      <w:pPr>
        <w:jc w:val="both"/>
        <w:rPr>
          <w:rFonts w:ascii="Marianne" w:hAnsi="Marianne"/>
        </w:rPr>
      </w:pPr>
      <w:r w:rsidRPr="007157A4">
        <w:rPr>
          <w:rFonts w:ascii="Marianne" w:hAnsi="Marianne"/>
        </w:rPr>
        <w:t xml:space="preserve">Les bonifications sont définies par arrêté du ministre chargé de l’énergie. Elles ne se cumulent pas entre elles. Elles figurent dans </w:t>
      </w:r>
      <w:hyperlink r:id="rId9" w:history="1">
        <w:r w:rsidRPr="007157A4">
          <w:rPr>
            <w:rFonts w:ascii="Marianne" w:hAnsi="Marianne"/>
          </w:rPr>
          <w:t>l’arrêté du 29 décembre 2014</w:t>
        </w:r>
      </w:hyperlink>
      <w:r w:rsidRPr="007157A4">
        <w:rPr>
          <w:rFonts w:ascii="Marianne" w:hAnsi="Marianne"/>
        </w:rPr>
        <w:t xml:space="preserve"> modifié relatif aux modalités d'application du dispositif des certificats d'économies d'énergie. E</w:t>
      </w:r>
      <w:r w:rsidR="00575B76" w:rsidRPr="007157A4">
        <w:rPr>
          <w:rFonts w:ascii="Marianne" w:hAnsi="Marianne"/>
        </w:rPr>
        <w:t>n application de l’article R. 221-18 du code de l’énergie, e</w:t>
      </w:r>
      <w:r w:rsidRPr="007157A4">
        <w:rPr>
          <w:rFonts w:ascii="Marianne" w:hAnsi="Marianne"/>
        </w:rPr>
        <w:t xml:space="preserve">lles font l’objet d'un avis préalable des ministres chargés de l'économie et du budget </w:t>
      </w:r>
      <w:r w:rsidR="000A4E61" w:rsidRPr="007157A4">
        <w:rPr>
          <w:rFonts w:ascii="Marianne" w:hAnsi="Marianne"/>
        </w:rPr>
        <w:t xml:space="preserve">rendu </w:t>
      </w:r>
      <w:r w:rsidRPr="007157A4">
        <w:rPr>
          <w:rFonts w:ascii="Marianne" w:hAnsi="Marianne"/>
        </w:rPr>
        <w:t>sous deux semaines</w:t>
      </w:r>
      <w:r w:rsidR="0010637C" w:rsidRPr="007157A4">
        <w:rPr>
          <w:rFonts w:ascii="Marianne" w:hAnsi="Marianne"/>
        </w:rPr>
        <w:t xml:space="preserve"> à compter de la date de saisine par </w:t>
      </w:r>
      <w:r w:rsidR="000A4E61" w:rsidRPr="007157A4">
        <w:rPr>
          <w:rFonts w:ascii="Marianne" w:hAnsi="Marianne"/>
        </w:rPr>
        <w:t>le ministre chargé de l’énergie (</w:t>
      </w:r>
      <w:r w:rsidR="0010637C" w:rsidRPr="007157A4">
        <w:rPr>
          <w:rFonts w:ascii="Marianne" w:hAnsi="Marianne"/>
        </w:rPr>
        <w:t>la DGEC</w:t>
      </w:r>
      <w:r w:rsidR="000A4E61" w:rsidRPr="007157A4">
        <w:rPr>
          <w:rFonts w:ascii="Marianne" w:hAnsi="Marianne"/>
        </w:rPr>
        <w:t>)</w:t>
      </w:r>
      <w:r w:rsidRPr="007157A4">
        <w:rPr>
          <w:rFonts w:ascii="Marianne" w:hAnsi="Marianne"/>
        </w:rPr>
        <w:t xml:space="preserve">. Au </w:t>
      </w:r>
      <w:r w:rsidRPr="007157A4">
        <w:rPr>
          <w:rFonts w:ascii="Marianne" w:hAnsi="Marianne"/>
        </w:rPr>
        <w:lastRenderedPageBreak/>
        <w:t>préalable, les administrations compétentes sur la politique sectorielle concernée sont consultées sur la définition de la bonification.</w:t>
      </w:r>
    </w:p>
    <w:p w14:paraId="41E0F2CD" w14:textId="429E398C" w:rsidR="00261310" w:rsidRPr="007157A4" w:rsidRDefault="00261310">
      <w:pPr>
        <w:jc w:val="both"/>
        <w:rPr>
          <w:rFonts w:ascii="Marianne" w:hAnsi="Marianne"/>
        </w:rPr>
      </w:pPr>
      <w:r w:rsidRPr="007157A4">
        <w:rPr>
          <w:rFonts w:ascii="Marianne" w:hAnsi="Marianne"/>
        </w:rPr>
        <w:t xml:space="preserve">Les bonifications sont </w:t>
      </w:r>
      <w:r w:rsidR="00575B76" w:rsidRPr="007157A4">
        <w:rPr>
          <w:rFonts w:ascii="Marianne" w:hAnsi="Marianne"/>
        </w:rPr>
        <w:t>créées, modifiées et reconduites pour une</w:t>
      </w:r>
      <w:r w:rsidRPr="007157A4">
        <w:rPr>
          <w:rFonts w:ascii="Marianne" w:hAnsi="Marianne"/>
        </w:rPr>
        <w:t xml:space="preserve"> durée </w:t>
      </w:r>
      <w:r w:rsidR="00575B76" w:rsidRPr="007157A4">
        <w:rPr>
          <w:rFonts w:ascii="Marianne" w:hAnsi="Marianne"/>
        </w:rPr>
        <w:t>maximale de</w:t>
      </w:r>
      <w:r w:rsidRPr="007157A4">
        <w:rPr>
          <w:rFonts w:ascii="Marianne" w:hAnsi="Marianne"/>
        </w:rPr>
        <w:t xml:space="preserve"> 3 ans</w:t>
      </w:r>
      <w:r w:rsidR="00575B76" w:rsidRPr="007157A4">
        <w:rPr>
          <w:rFonts w:ascii="Marianne" w:hAnsi="Marianne"/>
        </w:rPr>
        <w:t>. A l’issue de ce délai,</w:t>
      </w:r>
      <w:r w:rsidRPr="007157A4">
        <w:rPr>
          <w:rFonts w:ascii="Marianne" w:hAnsi="Marianne"/>
        </w:rPr>
        <w:t xml:space="preserve"> leur reconduction et/ou mise à jour est conditionnée à la réalisation d’un retour d’expérience dédié. Ce principe est progressivement intégré dans les arrêtés </w:t>
      </w:r>
      <w:r w:rsidR="007B39DD" w:rsidRPr="007157A4">
        <w:rPr>
          <w:rFonts w:ascii="Marianne" w:hAnsi="Marianne"/>
        </w:rPr>
        <w:t>réglementaires correspondants.</w:t>
      </w:r>
    </w:p>
    <w:p w14:paraId="5ED5E36E" w14:textId="77777777" w:rsidR="007B76BB" w:rsidRPr="007157A4" w:rsidRDefault="00197CDA">
      <w:pPr>
        <w:jc w:val="both"/>
        <w:rPr>
          <w:rFonts w:ascii="Marianne" w:hAnsi="Marianne" w:cs="Times New Roman"/>
        </w:rPr>
      </w:pPr>
      <w:r w:rsidRPr="007157A4">
        <w:rPr>
          <w:rFonts w:ascii="Marianne" w:hAnsi="Marianne" w:cs="Times New Roman"/>
        </w:rPr>
        <w:t>Les principales bonifications organisées dans le cadre des « Coup de pouce CEE » sont, par ailleurs, recensées sous :</w:t>
      </w:r>
    </w:p>
    <w:p w14:paraId="4E82E59A" w14:textId="3104B485" w:rsidR="007B76BB" w:rsidRPr="007157A4" w:rsidRDefault="008C4585">
      <w:pPr>
        <w:jc w:val="both"/>
        <w:rPr>
          <w:rFonts w:ascii="Marianne" w:hAnsi="Marianne" w:cs="Times New Roman"/>
        </w:rPr>
      </w:pPr>
      <w:hyperlink r:id="rId10" w:anchor="summary-target-0" w:history="1">
        <w:r w:rsidR="00197CDA" w:rsidRPr="007157A4">
          <w:rPr>
            <w:rStyle w:val="Lienhypertexte"/>
            <w:rFonts w:ascii="Marianne" w:hAnsi="Marianne" w:cs="Times New Roman"/>
          </w:rPr>
          <w:t>https://www.ecologie.gouv.fr/politiques-publiques/energies#summary-target-0</w:t>
        </w:r>
      </w:hyperlink>
    </w:p>
    <w:p w14:paraId="0EAF1B57" w14:textId="77777777" w:rsidR="007B76BB" w:rsidRPr="007157A4" w:rsidRDefault="00197CDA">
      <w:pPr>
        <w:jc w:val="both"/>
        <w:rPr>
          <w:rFonts w:ascii="Marianne" w:hAnsi="Marianne" w:cs="Times New Roman"/>
        </w:rPr>
      </w:pPr>
      <w:r w:rsidRPr="007157A4">
        <w:rPr>
          <w:rFonts w:ascii="Marianne" w:hAnsi="Marianne" w:cs="Times New Roman"/>
        </w:rPr>
        <w:t>Chaque mois, la lettre d’information CEE récapitule les principaux éléments concernant les opérations bénéficiant de ces bonifications et périodiquement les statistiques correspondantes sont mises en ligne.</w:t>
      </w:r>
    </w:p>
    <w:p w14:paraId="6EB89CA3" w14:textId="77777777" w:rsidR="007B76BB" w:rsidRPr="007157A4" w:rsidRDefault="00197CDA">
      <w:pPr>
        <w:jc w:val="both"/>
        <w:rPr>
          <w:rFonts w:ascii="Marianne" w:hAnsi="Marianne" w:cs="Times New Roman"/>
        </w:rPr>
      </w:pPr>
      <w:r w:rsidRPr="007157A4">
        <w:rPr>
          <w:rFonts w:ascii="Marianne" w:hAnsi="Marianne" w:cs="Times New Roman"/>
        </w:rPr>
        <w:t>Chaque trimestre, les données brutes publiées identifient les montants mobilisés pour chaque fiche et chaque bonification.</w:t>
      </w:r>
    </w:p>
    <w:p w14:paraId="239A7447" w14:textId="0854507F" w:rsidR="007B76BB" w:rsidRPr="007157A4" w:rsidRDefault="00197CDA">
      <w:pPr>
        <w:jc w:val="both"/>
        <w:rPr>
          <w:rFonts w:ascii="Marianne" w:hAnsi="Marianne" w:cs="Times New Roman"/>
        </w:rPr>
      </w:pPr>
      <w:r w:rsidRPr="007157A4">
        <w:rPr>
          <w:rFonts w:ascii="Marianne" w:hAnsi="Marianne" w:cs="Times New Roman"/>
        </w:rPr>
        <w:t>Enfin, lors des échanges en Comité inter-administration (CIA) et en Comité de pilotage CEE, le niveau des bonifications est rapporté.</w:t>
      </w:r>
    </w:p>
    <w:p w14:paraId="776B7CB0" w14:textId="42F079C0" w:rsidR="007B76BB" w:rsidRPr="009C720A" w:rsidRDefault="00197CDA" w:rsidP="009C720A">
      <w:pPr>
        <w:pStyle w:val="Paragraphedeliste"/>
        <w:numPr>
          <w:ilvl w:val="1"/>
          <w:numId w:val="10"/>
        </w:numPr>
        <w:jc w:val="both"/>
        <w:rPr>
          <w:rFonts w:ascii="Marianne" w:hAnsi="Marianne" w:cs="Times New Roman"/>
          <w:b/>
        </w:rPr>
      </w:pPr>
      <w:r w:rsidRPr="009C720A">
        <w:rPr>
          <w:rFonts w:ascii="Marianne" w:hAnsi="Marianne" w:cs="Times New Roman"/>
          <w:b/>
        </w:rPr>
        <w:t>Eléments de doctrine</w:t>
      </w:r>
    </w:p>
    <w:p w14:paraId="719B7547" w14:textId="1D758574" w:rsidR="007B76BB" w:rsidRPr="00590084" w:rsidRDefault="00197CDA">
      <w:pPr>
        <w:jc w:val="both"/>
        <w:rPr>
          <w:rFonts w:ascii="Marianne" w:hAnsi="Marianne" w:cs="Times New Roman"/>
        </w:rPr>
      </w:pPr>
      <w:r w:rsidRPr="00590084">
        <w:rPr>
          <w:rFonts w:ascii="Marianne" w:hAnsi="Marianne" w:cs="Times New Roman"/>
        </w:rPr>
        <w:t xml:space="preserve">Le recours à une bonification doit être exceptionnel et justifié par des objectifs précis et partagés en </w:t>
      </w:r>
      <w:r w:rsidR="00617897" w:rsidRPr="00590084">
        <w:rPr>
          <w:rFonts w:ascii="Marianne" w:hAnsi="Marianne" w:cs="Times New Roman"/>
        </w:rPr>
        <w:t>C</w:t>
      </w:r>
      <w:r w:rsidRPr="00590084">
        <w:rPr>
          <w:rFonts w:ascii="Marianne" w:hAnsi="Marianne" w:cs="Times New Roman"/>
        </w:rPr>
        <w:t xml:space="preserve">omité inter-administrations CEE et </w:t>
      </w:r>
      <w:r w:rsidR="00617897" w:rsidRPr="00590084">
        <w:rPr>
          <w:rFonts w:ascii="Marianne" w:hAnsi="Marianne" w:cs="Times New Roman"/>
        </w:rPr>
        <w:t>C</w:t>
      </w:r>
      <w:r w:rsidRPr="00590084">
        <w:rPr>
          <w:rFonts w:ascii="Marianne" w:hAnsi="Marianne" w:cs="Times New Roman"/>
        </w:rPr>
        <w:t>omité de pilotage CEE.</w:t>
      </w:r>
    </w:p>
    <w:p w14:paraId="73EF230B" w14:textId="77777777" w:rsidR="007B76BB" w:rsidRPr="00590084" w:rsidRDefault="00197CDA">
      <w:pPr>
        <w:jc w:val="both"/>
        <w:rPr>
          <w:rFonts w:ascii="Marianne" w:hAnsi="Marianne" w:cs="Times New Roman"/>
        </w:rPr>
      </w:pPr>
      <w:r w:rsidRPr="00590084">
        <w:rPr>
          <w:rFonts w:ascii="Marianne" w:hAnsi="Marianne" w:cs="Times New Roman"/>
        </w:rPr>
        <w:t>L’opportunité de créer ou modifier une bonification doit être évaluée notamment au regard (i) des objectifs poursuivis et (ii) de son impact sur l’équilibre entre le gisement et le niveau d’obligation, afin d’éviter tout déséquilibre du marché des CEE.</w:t>
      </w:r>
    </w:p>
    <w:p w14:paraId="38205FBF" w14:textId="77777777" w:rsidR="007B76BB" w:rsidRPr="00590084" w:rsidRDefault="00197CDA">
      <w:pPr>
        <w:jc w:val="both"/>
        <w:rPr>
          <w:rFonts w:ascii="Marianne" w:hAnsi="Marianne" w:cs="Times New Roman"/>
        </w:rPr>
      </w:pPr>
      <w:r w:rsidRPr="00590084">
        <w:rPr>
          <w:rFonts w:ascii="Marianne" w:hAnsi="Marianne" w:cs="Times New Roman"/>
        </w:rPr>
        <w:t>Ainsi, la mise en place d’une bonification doit préalablement faire l’objet d’une justification vis-à-vis de la politique publique visée et d’études préalables sur ses effets potentiels, entre autres sur le gisement, le taux de couverture et le temps de retour sur investissement.</w:t>
      </w:r>
    </w:p>
    <w:p w14:paraId="4D05FAE0" w14:textId="0F1BE53E" w:rsidR="007B76BB" w:rsidRPr="00590084" w:rsidRDefault="00197CDA">
      <w:pPr>
        <w:jc w:val="both"/>
        <w:rPr>
          <w:rFonts w:ascii="Marianne" w:hAnsi="Marianne" w:cs="Times New Roman"/>
        </w:rPr>
      </w:pPr>
      <w:r w:rsidRPr="00590084">
        <w:rPr>
          <w:rFonts w:ascii="Marianne" w:hAnsi="Marianne" w:cs="Times New Roman"/>
        </w:rPr>
        <w:t>À cette fin, les effets de la mise en œuvre d’une nouvelle pondération (nombre et volume d’opérations visés et volumes bonifié et non bonifié associés) sont estimés avant la prise de décision.</w:t>
      </w:r>
    </w:p>
    <w:p w14:paraId="79765111" w14:textId="13412C9D" w:rsidR="007B76BB" w:rsidRPr="00590084" w:rsidRDefault="00197CDA">
      <w:pPr>
        <w:jc w:val="both"/>
        <w:rPr>
          <w:rFonts w:ascii="Marianne" w:hAnsi="Marianne" w:cs="Times New Roman"/>
        </w:rPr>
      </w:pPr>
      <w:r w:rsidRPr="00590084">
        <w:rPr>
          <w:rFonts w:ascii="Marianne" w:hAnsi="Marianne" w:cs="Times New Roman"/>
        </w:rPr>
        <w:t xml:space="preserve">Les bonifications doivent être </w:t>
      </w:r>
      <w:r w:rsidR="00FE0795" w:rsidRPr="00590084">
        <w:rPr>
          <w:rFonts w:ascii="Marianne" w:hAnsi="Marianne" w:cs="Times New Roman"/>
        </w:rPr>
        <w:t>cohérentes</w:t>
      </w:r>
      <w:r w:rsidRPr="00590084">
        <w:rPr>
          <w:rFonts w:ascii="Marianne" w:hAnsi="Marianne" w:cs="Times New Roman"/>
        </w:rPr>
        <w:t xml:space="preserve"> avec les objectifs de la planification écologique</w:t>
      </w:r>
      <w:r w:rsidR="00FE0795" w:rsidRPr="00590084">
        <w:rPr>
          <w:rFonts w:ascii="Marianne" w:hAnsi="Marianne" w:cs="Times New Roman"/>
        </w:rPr>
        <w:t xml:space="preserve">, déclinés dans la Programmation pluriannuelle de l’énergie (PPE) et la Stratégie nationale bas carbone (SBNC), </w:t>
      </w:r>
      <w:r w:rsidR="00067F84" w:rsidRPr="00590084">
        <w:rPr>
          <w:rFonts w:ascii="Marianne" w:hAnsi="Marianne" w:cs="Times New Roman"/>
        </w:rPr>
        <w:t>et soutenir prioritairement l’électrification des usages</w:t>
      </w:r>
      <w:r w:rsidRPr="00590084">
        <w:rPr>
          <w:rFonts w:ascii="Marianne" w:hAnsi="Marianne" w:cs="Times New Roman"/>
        </w:rPr>
        <w:t xml:space="preserve">. Pour les opérations dont le forfait non bonifié ne suffit pas à déclencher la décision d’investissement, les bonifications permettent ainsi de rendre le taux de couverture des coûts d’investissement et le temps de retour sur investissement suffisamment incitatifs. Toutefois, le volume moyen bonifié par fiche ne doit pas être </w:t>
      </w:r>
      <w:r w:rsidRPr="00590084">
        <w:rPr>
          <w:rFonts w:ascii="Marianne" w:hAnsi="Marianne" w:cs="Times New Roman"/>
        </w:rPr>
        <w:lastRenderedPageBreak/>
        <w:t>supérieur à environ cinq fois le volume moyen non bonifié de la fiche. Il pourra être dérogé à ce plafond de façon exceptionnelle afin de répondre à une priorité de politique publique</w:t>
      </w:r>
      <w:r w:rsidR="00067F84" w:rsidRPr="00590084">
        <w:rPr>
          <w:rFonts w:ascii="Marianne" w:hAnsi="Marianne" w:cs="Times New Roman"/>
        </w:rPr>
        <w:t xml:space="preserve"> contribuant</w:t>
      </w:r>
      <w:r w:rsidR="007B39DD" w:rsidRPr="00590084">
        <w:rPr>
          <w:rFonts w:ascii="Marianne" w:hAnsi="Marianne" w:cs="Times New Roman"/>
        </w:rPr>
        <w:t xml:space="preserve"> aux objectifs d’électrification, </w:t>
      </w:r>
      <w:r w:rsidR="001E5291" w:rsidRPr="00590084">
        <w:rPr>
          <w:rFonts w:ascii="Marianne" w:hAnsi="Marianne" w:cs="Times New Roman"/>
        </w:rPr>
        <w:t xml:space="preserve">à l’image par exemple du </w:t>
      </w:r>
      <w:r w:rsidRPr="00590084">
        <w:rPr>
          <w:rFonts w:ascii="Marianne" w:hAnsi="Marianne" w:cs="Times New Roman"/>
        </w:rPr>
        <w:t>soutien à la mobilité électrique.</w:t>
      </w:r>
    </w:p>
    <w:p w14:paraId="4B10F661" w14:textId="65C77280" w:rsidR="007B76BB" w:rsidRPr="00590084" w:rsidRDefault="00197CDA">
      <w:pPr>
        <w:jc w:val="both"/>
        <w:rPr>
          <w:rFonts w:ascii="Marianne" w:hAnsi="Marianne" w:cs="Times New Roman"/>
        </w:rPr>
      </w:pPr>
      <w:r w:rsidRPr="00590084">
        <w:rPr>
          <w:rFonts w:ascii="Marianne" w:hAnsi="Marianne" w:cs="Times New Roman"/>
        </w:rPr>
        <w:t>Les bonifications ne doivent pas conduire à un temps de retour sur investissement, calculé par rapport à la même situation de référence que celle ayant conduit au calcul du forfait, toutes aides comprises, inférieur à trois ans. Ces calculs économiques doivent être appliqués à l’ensemble des forfaits possibles d’une même fiche, afin d’assurer le bon calibrage de l’aide, y compris pour les paramètres extrêmes de la fiche.</w:t>
      </w:r>
    </w:p>
    <w:p w14:paraId="64C8D528" w14:textId="77777777" w:rsidR="007B76BB" w:rsidRPr="00590084" w:rsidRDefault="00197CDA">
      <w:pPr>
        <w:jc w:val="both"/>
        <w:rPr>
          <w:rFonts w:ascii="Marianne" w:hAnsi="Marianne" w:cs="Times New Roman"/>
        </w:rPr>
      </w:pPr>
      <w:r w:rsidRPr="00590084">
        <w:rPr>
          <w:rFonts w:ascii="Marianne" w:hAnsi="Marianne" w:cs="Times New Roman"/>
        </w:rPr>
        <w:t>Les bonifications sont exprimées au moyen d’un coefficient multiplicateur, de préférence exprimé par un chiffre entier, qui peut éventuellement être différencié en fonction des catégories de revenus. Dans certains cas spécifiques (exemple d’opérations ayant des coûts fixes importants indépendamment des économies d’énergie générées</w:t>
      </w:r>
      <w:r w:rsidRPr="00590084">
        <w:rPr>
          <w:rFonts w:ascii="Marianne" w:hAnsi="Marianne"/>
          <w:vertAlign w:val="superscript"/>
        </w:rPr>
        <w:footnoteReference w:id="4"/>
      </w:r>
      <w:r w:rsidRPr="00590084">
        <w:rPr>
          <w:rFonts w:ascii="Marianne" w:hAnsi="Marianne" w:cs="Times New Roman"/>
        </w:rPr>
        <w:t xml:space="preserve">), les bonifications peuvent également être exprimées en économies d’énergie cumulées et actualisées (en kWhc), et non sous la forme de coefficients multiplicateurs. </w:t>
      </w:r>
    </w:p>
    <w:p w14:paraId="07A64B48" w14:textId="77777777" w:rsidR="007B76BB" w:rsidRPr="00590084" w:rsidRDefault="00197CDA">
      <w:pPr>
        <w:jc w:val="both"/>
        <w:rPr>
          <w:rFonts w:ascii="Marianne" w:hAnsi="Marianne" w:cs="Times New Roman"/>
        </w:rPr>
      </w:pPr>
      <w:r w:rsidRPr="00590084">
        <w:rPr>
          <w:rFonts w:ascii="Marianne" w:hAnsi="Marianne" w:cs="Times New Roman"/>
        </w:rPr>
        <w:t>Autant que possible, les bonifications doivent rester stables sur la période considérée. Toutefois, des informations tendant à mettre en évidence un surdimensionnement d’une bonification peuvent conduire à réduire cette bonification en cours de période, ou en modifier les critères d’éligibilité.</w:t>
      </w:r>
    </w:p>
    <w:p w14:paraId="11A2C447" w14:textId="30C9E107" w:rsidR="007B76BB" w:rsidRPr="00590084" w:rsidRDefault="00197CDA" w:rsidP="008C74A9">
      <w:pPr>
        <w:jc w:val="both"/>
        <w:rPr>
          <w:rFonts w:ascii="Marianne" w:hAnsi="Marianne" w:cs="Times New Roman"/>
        </w:rPr>
      </w:pPr>
      <w:r w:rsidRPr="00590084">
        <w:rPr>
          <w:rFonts w:ascii="Marianne" w:hAnsi="Marianne" w:cs="Times New Roman"/>
        </w:rPr>
        <w:t xml:space="preserve">De plus, un coefficient de pondération inférieur à 1 pourra être prévu dans </w:t>
      </w:r>
      <w:hyperlink r:id="rId11" w:history="1">
        <w:r w:rsidRPr="00590084">
          <w:rPr>
            <w:rFonts w:ascii="Marianne" w:hAnsi="Marianne" w:cs="Times New Roman"/>
          </w:rPr>
          <w:t>l’arrêté du 29 décembre 2014</w:t>
        </w:r>
      </w:hyperlink>
      <w:r w:rsidRPr="00590084">
        <w:rPr>
          <w:rFonts w:ascii="Marianne" w:hAnsi="Marianne" w:cs="Times New Roman"/>
        </w:rPr>
        <w:t xml:space="preserve"> modifié afin de maintenir un reste minimal à la charge des bénéficiaires des économies d’énergies.</w:t>
      </w:r>
    </w:p>
    <w:sectPr w:rsidR="007B76BB" w:rsidRPr="00590084">
      <w:headerReference w:type="even" r:id="rId12"/>
      <w:head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A7F1B" w14:textId="77777777" w:rsidR="00615811" w:rsidRDefault="00615811">
      <w:pPr>
        <w:spacing w:after="0" w:line="240" w:lineRule="auto"/>
      </w:pPr>
      <w:r>
        <w:separator/>
      </w:r>
    </w:p>
  </w:endnote>
  <w:endnote w:type="continuationSeparator" w:id="0">
    <w:p w14:paraId="74D540F6" w14:textId="77777777" w:rsidR="00615811" w:rsidRDefault="0061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Marianne">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79ED9" w14:textId="77777777" w:rsidR="00615811" w:rsidRDefault="00615811">
      <w:pPr>
        <w:spacing w:after="0" w:line="240" w:lineRule="auto"/>
      </w:pPr>
      <w:r>
        <w:separator/>
      </w:r>
    </w:p>
  </w:footnote>
  <w:footnote w:type="continuationSeparator" w:id="0">
    <w:p w14:paraId="06802E9E" w14:textId="77777777" w:rsidR="00615811" w:rsidRDefault="00615811">
      <w:pPr>
        <w:spacing w:after="0" w:line="240" w:lineRule="auto"/>
      </w:pPr>
      <w:r>
        <w:continuationSeparator/>
      </w:r>
    </w:p>
  </w:footnote>
  <w:footnote w:id="1">
    <w:p w14:paraId="7E288338" w14:textId="77777777" w:rsidR="007B76BB" w:rsidRPr="00F9783C" w:rsidRDefault="00197CDA" w:rsidP="009F4452">
      <w:pPr>
        <w:pStyle w:val="Notedebasdepage"/>
        <w:jc w:val="both"/>
        <w:rPr>
          <w:rFonts w:ascii="Marianne" w:hAnsi="Marianne" w:cs="Times New Roman"/>
        </w:rPr>
      </w:pPr>
      <w:r w:rsidRPr="00F9783C">
        <w:rPr>
          <w:rStyle w:val="Appelnotedebasdep"/>
          <w:rFonts w:ascii="Marianne" w:hAnsi="Marianne" w:cs="Times New Roman"/>
        </w:rPr>
        <w:footnoteRef/>
      </w:r>
      <w:r w:rsidRPr="00F9783C">
        <w:rPr>
          <w:rFonts w:ascii="Marianne" w:hAnsi="Marianne" w:cs="Times New Roman"/>
        </w:rPr>
        <w:t xml:space="preserve"> Cf. article R. 221-16 du code de l’énergie relatif à la situation de référence.</w:t>
      </w:r>
    </w:p>
  </w:footnote>
  <w:footnote w:id="2">
    <w:p w14:paraId="733EFD0B" w14:textId="77777777" w:rsidR="001276A4" w:rsidRPr="00F9783C" w:rsidRDefault="001276A4" w:rsidP="009F4452">
      <w:pPr>
        <w:pStyle w:val="Notedebasdepage"/>
        <w:jc w:val="both"/>
        <w:rPr>
          <w:rFonts w:ascii="Marianne" w:hAnsi="Marianne"/>
        </w:rPr>
      </w:pPr>
      <w:r w:rsidRPr="00F9783C">
        <w:rPr>
          <w:rStyle w:val="Appelnotedebasdep"/>
          <w:rFonts w:ascii="Marianne" w:hAnsi="Marianne" w:cs="Times New Roman"/>
        </w:rPr>
        <w:footnoteRef/>
      </w:r>
      <w:r w:rsidRPr="00F9783C">
        <w:rPr>
          <w:rFonts w:ascii="Marianne" w:hAnsi="Marianne" w:cs="Times New Roman"/>
        </w:rPr>
        <w:t xml:space="preserve"> Pour certaines fiches prioritaires pour le gouvernement, ce dernier pourra également s’impliquer activement dans les travaux préparatoires et les coordonner.</w:t>
      </w:r>
    </w:p>
  </w:footnote>
  <w:footnote w:id="3">
    <w:p w14:paraId="5C41AA7C" w14:textId="462C2CF0" w:rsidR="0010637C" w:rsidRPr="007157A4" w:rsidRDefault="0010637C" w:rsidP="009F4452">
      <w:pPr>
        <w:pStyle w:val="Notedebasdepage"/>
        <w:jc w:val="both"/>
        <w:rPr>
          <w:rFonts w:ascii="Marianne" w:hAnsi="Marianne"/>
        </w:rPr>
      </w:pPr>
      <w:r w:rsidRPr="007157A4">
        <w:rPr>
          <w:rStyle w:val="Appelnotedebasdep"/>
          <w:rFonts w:ascii="Marianne" w:hAnsi="Marianne" w:cs="Times New Roman"/>
        </w:rPr>
        <w:footnoteRef/>
      </w:r>
      <w:r w:rsidRPr="007157A4">
        <w:rPr>
          <w:rFonts w:ascii="Marianne" w:hAnsi="Marianne" w:cs="Times New Roman"/>
        </w:rPr>
        <w:t xml:space="preserve"> Le programme d’évaluation du dispositif des certificats d'économies d'énergie (CEE), dénommé « PRODICEE</w:t>
      </w:r>
      <w:r w:rsidR="003D031C" w:rsidRPr="007157A4">
        <w:rPr>
          <w:rFonts w:ascii="Marianne" w:hAnsi="Marianne" w:cs="Times New Roman"/>
        </w:rPr>
        <w:t> </w:t>
      </w:r>
      <w:r w:rsidRPr="007157A4">
        <w:rPr>
          <w:rFonts w:ascii="Marianne" w:hAnsi="Marianne" w:cs="Times New Roman"/>
        </w:rPr>
        <w:t>», porté par l'ADEME dans le cadre d'un consortium associant huit autres organismes porteurs (CSTB, AQC, IPP, CEREMA, CEREN, CETIAT, ALLICE, ENPC), a pour objet l'évaluation technique et économique du dispositif des CEE pour alimenter au mieux les décisions des acteurs du dispositif, notamment les pouvoirs publics, et la mise en place d’un système d’information pour le croisement des données de contrôle.</w:t>
      </w:r>
    </w:p>
  </w:footnote>
  <w:footnote w:id="4">
    <w:p w14:paraId="527E7905" w14:textId="77777777" w:rsidR="007B76BB" w:rsidRPr="00590084" w:rsidRDefault="00197CDA">
      <w:pPr>
        <w:pStyle w:val="Notedebasdepage"/>
        <w:jc w:val="both"/>
        <w:rPr>
          <w:rFonts w:ascii="Marianne" w:hAnsi="Marianne" w:cs="Times New Roman"/>
        </w:rPr>
      </w:pPr>
      <w:r w:rsidRPr="00590084">
        <w:rPr>
          <w:rStyle w:val="Appelnotedebasdep"/>
          <w:rFonts w:ascii="Marianne" w:hAnsi="Marianne" w:cs="Times New Roman"/>
        </w:rPr>
        <w:footnoteRef/>
      </w:r>
      <w:r w:rsidRPr="00590084">
        <w:rPr>
          <w:rFonts w:ascii="Marianne" w:hAnsi="Marianne" w:cs="Times New Roman"/>
        </w:rPr>
        <w:t xml:space="preserve"> Par exemple, le coût d’un raccordement à un réseau de chaleur dépend essentiellement du nombre de mètres de linéaires à développer et de la puissance de la sous-station, valeurs qui sont les mêmes en zone H1 comme en zone H3.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5215" w14:textId="77777777" w:rsidR="007B76BB" w:rsidRDefault="008C4585">
    <w:pPr>
      <w:pStyle w:val="En-tte"/>
    </w:pPr>
    <w:r>
      <w:rPr>
        <w:noProof/>
      </w:rPr>
      <w:pict w14:anchorId="5D329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52985" o:spid="_x0000_s2050" type="#_x0000_t136" style="position:absolute;margin-left:0;margin-top:0;width:426.35pt;height:213.15pt;rotation:315;z-index:-251655168;mso-position-horizontal:center;mso-position-horizontal-relative:margin;mso-position-vertical:center;mso-position-vertical-relative:margin" o:allowincell="f" fillcolor="#f4b083 [1941]"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D990" w14:textId="77777777" w:rsidR="007B76BB" w:rsidRDefault="008C4585">
    <w:pPr>
      <w:pStyle w:val="En-tte"/>
    </w:pPr>
    <w:r>
      <w:rPr>
        <w:noProof/>
      </w:rPr>
      <w:pict w14:anchorId="7829C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52986" o:spid="_x0000_s2051" type="#_x0000_t136" style="position:absolute;margin-left:0;margin-top:0;width:426.35pt;height:213.15pt;rotation:315;z-index:-251653120;mso-position-horizontal:center;mso-position-horizontal-relative:margin;mso-position-vertical:center;mso-position-vertical-relative:margin" o:allowincell="f" fillcolor="#f4b083 [1941]" stroked="f">
          <v:fill opacity=".5"/>
          <v:textpath style="font-family:&quot;Calibri&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C1AC" w14:textId="77777777" w:rsidR="007B76BB" w:rsidRDefault="008C4585">
    <w:pPr>
      <w:pStyle w:val="En-tte"/>
    </w:pPr>
    <w:r>
      <w:rPr>
        <w:noProof/>
      </w:rPr>
      <w:pict w14:anchorId="74CD2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52984" o:spid="_x0000_s2049" type="#_x0000_t136" style="position:absolute;margin-left:0;margin-top:0;width:426.35pt;height:213.15pt;rotation:315;z-index:-251657216;mso-position-horizontal:center;mso-position-horizontal-relative:margin;mso-position-vertical:center;mso-position-vertical-relative:margin" o:allowincell="f" fillcolor="#f4b083 [1941]"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5B2"/>
    <w:multiLevelType w:val="multilevel"/>
    <w:tmpl w:val="B6EAB2FA"/>
    <w:lvl w:ilvl="0">
      <w:start w:val="1"/>
      <w:numFmt w:val="decimal"/>
      <w:lvlText w:val="%1"/>
      <w:lvlJc w:val="left"/>
      <w:pPr>
        <w:ind w:left="720" w:hanging="360"/>
      </w:pPr>
      <w:rPr>
        <w:rFonts w:hint="default"/>
      </w:rPr>
    </w:lvl>
    <w:lvl w:ilvl="1">
      <w:start w:val="1"/>
      <w:numFmt w:val="none"/>
      <w:lvlText w:val="1.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6E7BE6"/>
    <w:multiLevelType w:val="multilevel"/>
    <w:tmpl w:val="EDF8D2E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B012E2"/>
    <w:multiLevelType w:val="hybridMultilevel"/>
    <w:tmpl w:val="E3442EF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96C3002"/>
    <w:multiLevelType w:val="hybridMultilevel"/>
    <w:tmpl w:val="6576ED9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B2B0E57"/>
    <w:multiLevelType w:val="hybridMultilevel"/>
    <w:tmpl w:val="8E9EB26C"/>
    <w:lvl w:ilvl="0" w:tplc="3466B7C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BD37E5"/>
    <w:multiLevelType w:val="hybridMultilevel"/>
    <w:tmpl w:val="0A5248C4"/>
    <w:lvl w:ilvl="0" w:tplc="050AB77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EBE45CD"/>
    <w:multiLevelType w:val="multilevel"/>
    <w:tmpl w:val="2E1C351E"/>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FA73136"/>
    <w:multiLevelType w:val="multilevel"/>
    <w:tmpl w:val="1CFE8D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1D5257"/>
    <w:multiLevelType w:val="hybridMultilevel"/>
    <w:tmpl w:val="6C2664B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52C45CE"/>
    <w:multiLevelType w:val="hybridMultilevel"/>
    <w:tmpl w:val="862EFCCE"/>
    <w:lvl w:ilvl="0" w:tplc="31BE95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E6245FB"/>
    <w:multiLevelType w:val="multilevel"/>
    <w:tmpl w:val="E0F004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5"/>
  </w:num>
  <w:num w:numId="4">
    <w:abstractNumId w:val="8"/>
  </w:num>
  <w:num w:numId="5">
    <w:abstractNumId w:val="2"/>
  </w:num>
  <w:num w:numId="6">
    <w:abstractNumId w:val="0"/>
  </w:num>
  <w:num w:numId="7">
    <w:abstractNumId w:val="9"/>
  </w:num>
  <w:num w:numId="8">
    <w:abstractNumId w:val="1"/>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6BB"/>
    <w:rsid w:val="0001132A"/>
    <w:rsid w:val="000661A8"/>
    <w:rsid w:val="00067F84"/>
    <w:rsid w:val="00072DC7"/>
    <w:rsid w:val="000A4E61"/>
    <w:rsid w:val="0010637C"/>
    <w:rsid w:val="00115439"/>
    <w:rsid w:val="001276A4"/>
    <w:rsid w:val="00163186"/>
    <w:rsid w:val="00191BED"/>
    <w:rsid w:val="00197CDA"/>
    <w:rsid w:val="001E5291"/>
    <w:rsid w:val="00222D0E"/>
    <w:rsid w:val="002430EB"/>
    <w:rsid w:val="00261310"/>
    <w:rsid w:val="0029472E"/>
    <w:rsid w:val="002969BD"/>
    <w:rsid w:val="003011E9"/>
    <w:rsid w:val="00350CA5"/>
    <w:rsid w:val="00385866"/>
    <w:rsid w:val="003D031C"/>
    <w:rsid w:val="003E6A40"/>
    <w:rsid w:val="0042320A"/>
    <w:rsid w:val="00435F46"/>
    <w:rsid w:val="004476AC"/>
    <w:rsid w:val="00447A4C"/>
    <w:rsid w:val="004664FF"/>
    <w:rsid w:val="00475755"/>
    <w:rsid w:val="004C252C"/>
    <w:rsid w:val="004D33E3"/>
    <w:rsid w:val="004F3136"/>
    <w:rsid w:val="00575B76"/>
    <w:rsid w:val="00587B3C"/>
    <w:rsid w:val="00590084"/>
    <w:rsid w:val="00615811"/>
    <w:rsid w:val="00617897"/>
    <w:rsid w:val="006201F7"/>
    <w:rsid w:val="006300C8"/>
    <w:rsid w:val="006936FB"/>
    <w:rsid w:val="006D71DC"/>
    <w:rsid w:val="00701E44"/>
    <w:rsid w:val="00710CF5"/>
    <w:rsid w:val="007157A4"/>
    <w:rsid w:val="0071582F"/>
    <w:rsid w:val="007B39DD"/>
    <w:rsid w:val="007B76BB"/>
    <w:rsid w:val="007E15C5"/>
    <w:rsid w:val="0089340B"/>
    <w:rsid w:val="00895540"/>
    <w:rsid w:val="008B1A5F"/>
    <w:rsid w:val="008C4585"/>
    <w:rsid w:val="008C4BC4"/>
    <w:rsid w:val="008C74A9"/>
    <w:rsid w:val="008F7599"/>
    <w:rsid w:val="0094618E"/>
    <w:rsid w:val="00950726"/>
    <w:rsid w:val="00986EFB"/>
    <w:rsid w:val="009C720A"/>
    <w:rsid w:val="009F4452"/>
    <w:rsid w:val="00AC65CB"/>
    <w:rsid w:val="00B0212B"/>
    <w:rsid w:val="00B11D7E"/>
    <w:rsid w:val="00B5322D"/>
    <w:rsid w:val="00B67CBB"/>
    <w:rsid w:val="00BA7080"/>
    <w:rsid w:val="00BE0F0F"/>
    <w:rsid w:val="00C0262E"/>
    <w:rsid w:val="00C02702"/>
    <w:rsid w:val="00C033D5"/>
    <w:rsid w:val="00C041E8"/>
    <w:rsid w:val="00C42096"/>
    <w:rsid w:val="00C44F2A"/>
    <w:rsid w:val="00C67A24"/>
    <w:rsid w:val="00C822E5"/>
    <w:rsid w:val="00CC4EF5"/>
    <w:rsid w:val="00CC6369"/>
    <w:rsid w:val="00D033D0"/>
    <w:rsid w:val="00D21C5E"/>
    <w:rsid w:val="00D32048"/>
    <w:rsid w:val="00D5039C"/>
    <w:rsid w:val="00D636DA"/>
    <w:rsid w:val="00DE58DB"/>
    <w:rsid w:val="00E02FDA"/>
    <w:rsid w:val="00E1566C"/>
    <w:rsid w:val="00E22DC1"/>
    <w:rsid w:val="00E92251"/>
    <w:rsid w:val="00F016CE"/>
    <w:rsid w:val="00F15A5A"/>
    <w:rsid w:val="00F9783C"/>
    <w:rsid w:val="00FE0795"/>
    <w:rsid w:val="00FE527F"/>
    <w:rsid w:val="00FE7B09"/>
    <w:rsid w:val="00FF60D4"/>
    <w:rsid w:val="00FF70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E4C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113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F9783C"/>
    <w:pPr>
      <w:keepNext/>
      <w:keepLines/>
      <w:spacing w:before="120" w:after="120"/>
      <w:outlineLvl w:val="1"/>
    </w:pPr>
    <w:rPr>
      <w:rFonts w:ascii="Marianne" w:eastAsiaTheme="majorEastAsia" w:hAnsi="Marianne" w:cstheme="minorHAnsi"/>
      <w:b/>
      <w:color w:val="000000" w:themeColor="text1"/>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sid w:val="0029472E"/>
    <w:rPr>
      <w:i/>
      <w:iCs/>
    </w:rPr>
  </w:style>
  <w:style w:type="paragraph" w:styleId="Rvision">
    <w:name w:val="Revision"/>
    <w:hidden/>
    <w:uiPriority w:val="99"/>
    <w:semiHidden/>
    <w:rsid w:val="006D71DC"/>
    <w:pPr>
      <w:spacing w:after="0" w:line="240" w:lineRule="auto"/>
    </w:pPr>
  </w:style>
  <w:style w:type="paragraph" w:styleId="Sansinterligne">
    <w:name w:val="No Spacing"/>
    <w:link w:val="SansinterligneCar"/>
    <w:uiPriority w:val="1"/>
    <w:qFormat/>
    <w:rsid w:val="00C67A2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67A24"/>
    <w:rPr>
      <w:rFonts w:eastAsiaTheme="minorEastAsia"/>
      <w:lang w:eastAsia="fr-FR"/>
    </w:rPr>
  </w:style>
  <w:style w:type="paragraph" w:styleId="Sous-titre">
    <w:name w:val="Subtitle"/>
    <w:basedOn w:val="Normal"/>
    <w:next w:val="Normal"/>
    <w:link w:val="Sous-titreCar"/>
    <w:uiPriority w:val="11"/>
    <w:qFormat/>
    <w:rsid w:val="00C67A2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67A24"/>
    <w:rPr>
      <w:rFonts w:eastAsiaTheme="minorEastAsia"/>
      <w:color w:val="5A5A5A" w:themeColor="text1" w:themeTint="A5"/>
      <w:spacing w:val="15"/>
    </w:rPr>
  </w:style>
  <w:style w:type="paragraph" w:styleId="Paragraphedeliste">
    <w:name w:val="List Paragraph"/>
    <w:basedOn w:val="Normal"/>
    <w:uiPriority w:val="34"/>
    <w:qFormat/>
    <w:rsid w:val="008F7599"/>
    <w:pPr>
      <w:ind w:left="720"/>
      <w:contextualSpacing/>
    </w:pPr>
  </w:style>
  <w:style w:type="character" w:customStyle="1" w:styleId="Titre1Car">
    <w:name w:val="Titre 1 Car"/>
    <w:basedOn w:val="Policepardfaut"/>
    <w:link w:val="Titre1"/>
    <w:uiPriority w:val="9"/>
    <w:rsid w:val="0001132A"/>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01132A"/>
    <w:pPr>
      <w:outlineLvl w:val="9"/>
    </w:pPr>
    <w:rPr>
      <w:lang w:eastAsia="fr-FR"/>
    </w:rPr>
  </w:style>
  <w:style w:type="character" w:customStyle="1" w:styleId="Titre2Car">
    <w:name w:val="Titre 2 Car"/>
    <w:basedOn w:val="Policepardfaut"/>
    <w:link w:val="Titre2"/>
    <w:uiPriority w:val="9"/>
    <w:rsid w:val="00F9783C"/>
    <w:rPr>
      <w:rFonts w:ascii="Marianne" w:eastAsiaTheme="majorEastAsia" w:hAnsi="Marianne" w:cstheme="minorHAnsi"/>
      <w:b/>
      <w:color w:val="000000" w:themeColor="text1"/>
      <w:szCs w:val="26"/>
    </w:rPr>
  </w:style>
  <w:style w:type="paragraph" w:styleId="TM1">
    <w:name w:val="toc 1"/>
    <w:basedOn w:val="Normal"/>
    <w:next w:val="Normal"/>
    <w:autoRedefine/>
    <w:uiPriority w:val="39"/>
    <w:unhideWhenUsed/>
    <w:rsid w:val="006201F7"/>
    <w:pPr>
      <w:spacing w:after="100"/>
    </w:pPr>
  </w:style>
  <w:style w:type="paragraph" w:styleId="TM2">
    <w:name w:val="toc 2"/>
    <w:basedOn w:val="Normal"/>
    <w:next w:val="Normal"/>
    <w:autoRedefine/>
    <w:uiPriority w:val="39"/>
    <w:unhideWhenUsed/>
    <w:rsid w:val="006201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loda/id/JORFTEXT0000300016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cologie.gouv.fr/politiques-publiques/energies" TargetMode="External"/><Relationship Id="rId4" Type="http://schemas.openxmlformats.org/officeDocument/2006/relationships/settings" Target="settings.xml"/><Relationship Id="rId9" Type="http://schemas.openxmlformats.org/officeDocument/2006/relationships/hyperlink" Target="https://www.legifrance.gouv.fr/loda/id/JORFTEXT000030001603"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C6AFC-7E5D-432B-8A80-2FE968B29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2372</Words>
  <Characters>13049</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2026-03-12T08:41:00Z</dcterms:created>
  <dcterms:modified xsi:type="dcterms:W3CDTF">2026-03-12T10:02:00Z</dcterms:modified>
</cp:coreProperties>
</file>