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EE5AD" w14:textId="37F86063" w:rsidR="002B6A49" w:rsidRDefault="002B6A49" w:rsidP="002B6A49">
      <w:pPr>
        <w:pBdr>
          <w:top w:val="single" w:sz="4" w:space="1" w:color="auto"/>
          <w:left w:val="single" w:sz="4" w:space="4" w:color="auto"/>
          <w:bottom w:val="single" w:sz="4" w:space="1" w:color="auto"/>
          <w:right w:val="single" w:sz="4" w:space="4" w:color="auto"/>
        </w:pBdr>
        <w:jc w:val="center"/>
        <w:rPr>
          <w:b/>
          <w:bCs/>
          <w:sz w:val="28"/>
          <w:szCs w:val="28"/>
          <w:u w:val="single"/>
        </w:rPr>
      </w:pPr>
      <w:r w:rsidRPr="00311975">
        <w:rPr>
          <w:b/>
          <w:bCs/>
          <w:sz w:val="28"/>
          <w:szCs w:val="28"/>
          <w:u w:val="single"/>
        </w:rPr>
        <w:t xml:space="preserve">Consignes pour la déclaration </w:t>
      </w:r>
      <w:r>
        <w:rPr>
          <w:b/>
          <w:bCs/>
          <w:sz w:val="28"/>
          <w:szCs w:val="28"/>
          <w:u w:val="single"/>
        </w:rPr>
        <w:t xml:space="preserve">de durabilité des bioénergies </w:t>
      </w:r>
      <w:r w:rsidRPr="00311975">
        <w:rPr>
          <w:b/>
          <w:bCs/>
          <w:sz w:val="28"/>
          <w:szCs w:val="28"/>
          <w:u w:val="single"/>
        </w:rPr>
        <w:t>202</w:t>
      </w:r>
      <w:r w:rsidR="00E559F9">
        <w:rPr>
          <w:b/>
          <w:bCs/>
          <w:sz w:val="28"/>
          <w:szCs w:val="28"/>
          <w:u w:val="single"/>
        </w:rPr>
        <w:t>6</w:t>
      </w:r>
      <w:r w:rsidRPr="00311975">
        <w:rPr>
          <w:b/>
          <w:bCs/>
          <w:sz w:val="28"/>
          <w:szCs w:val="28"/>
          <w:u w:val="single"/>
        </w:rPr>
        <w:t xml:space="preserve"> sur l’année 202</w:t>
      </w:r>
      <w:r w:rsidR="00E559F9">
        <w:rPr>
          <w:b/>
          <w:bCs/>
          <w:sz w:val="28"/>
          <w:szCs w:val="28"/>
          <w:u w:val="single"/>
        </w:rPr>
        <w:t>5</w:t>
      </w:r>
    </w:p>
    <w:p w14:paraId="1AADF5E4" w14:textId="26772FE4" w:rsidR="002B6A49" w:rsidRDefault="002C5FAB" w:rsidP="002B6A49">
      <w:pPr>
        <w:pBdr>
          <w:top w:val="single" w:sz="4" w:space="1" w:color="auto"/>
          <w:left w:val="single" w:sz="4" w:space="4" w:color="auto"/>
          <w:bottom w:val="single" w:sz="4" w:space="1" w:color="auto"/>
          <w:right w:val="single" w:sz="4" w:space="4" w:color="auto"/>
        </w:pBdr>
        <w:jc w:val="center"/>
        <w:rPr>
          <w:b/>
          <w:bCs/>
          <w:sz w:val="28"/>
          <w:szCs w:val="28"/>
          <w:u w:val="single"/>
        </w:rPr>
      </w:pPr>
      <w:r>
        <w:rPr>
          <w:b/>
          <w:bCs/>
          <w:sz w:val="28"/>
          <w:szCs w:val="28"/>
          <w:u w:val="single"/>
        </w:rPr>
        <w:t xml:space="preserve">Cas particulier </w:t>
      </w:r>
      <w:r w:rsidR="002B6A49">
        <w:rPr>
          <w:b/>
          <w:bCs/>
          <w:sz w:val="28"/>
          <w:szCs w:val="28"/>
          <w:u w:val="single"/>
        </w:rPr>
        <w:t>de la production d’électricité et/ou de chaleur/froid à partir de biogaz</w:t>
      </w:r>
    </w:p>
    <w:p w14:paraId="56A48678" w14:textId="0021C27B" w:rsidR="00EF292E" w:rsidRDefault="00EF292E">
      <w:pPr>
        <w:rPr>
          <w:b/>
          <w:bCs/>
          <w:sz w:val="28"/>
          <w:szCs w:val="28"/>
          <w:u w:val="single"/>
        </w:rPr>
      </w:pPr>
    </w:p>
    <w:p w14:paraId="314796C3" w14:textId="160B349F" w:rsidR="007F1B45" w:rsidRDefault="000B5960" w:rsidP="00C72743">
      <w:pPr>
        <w:jc w:val="both"/>
        <w:rPr>
          <w:b/>
          <w:bCs/>
        </w:rPr>
      </w:pPr>
      <w:r>
        <w:rPr>
          <w:b/>
          <w:bCs/>
        </w:rPr>
        <w:t>Le cas de ces installations est particulier, étant donné qu’elles sont tenues de remplir un tableur Excel légèrement différent de celui des autres installations</w:t>
      </w:r>
      <w:r w:rsidR="007F1B45">
        <w:rPr>
          <w:b/>
          <w:bCs/>
        </w:rPr>
        <w:t xml:space="preserve"> (« tableur déclaration </w:t>
      </w:r>
      <w:r w:rsidR="00551F8F">
        <w:rPr>
          <w:b/>
          <w:bCs/>
        </w:rPr>
        <w:t>cogé biogaz</w:t>
      </w:r>
      <w:r w:rsidR="007F1B45">
        <w:rPr>
          <w:b/>
          <w:bCs/>
        </w:rPr>
        <w:t> »)</w:t>
      </w:r>
      <w:r>
        <w:rPr>
          <w:b/>
          <w:bCs/>
        </w:rPr>
        <w:t>, qui leur permet de combiner différents intrants afin de constituer des lots de biogaz. Ce sont ces lots qui sont tenus de respecter le critère de réduction de gaz à effet de serre (onglet 2 « Détail calcul GES » du tableur)</w:t>
      </w:r>
    </w:p>
    <w:p w14:paraId="12F837AA" w14:textId="577C392B" w:rsidR="007F1B45" w:rsidRDefault="007F1B45" w:rsidP="00C72743">
      <w:pPr>
        <w:jc w:val="both"/>
        <w:rPr>
          <w:b/>
          <w:bCs/>
        </w:rPr>
      </w:pPr>
    </w:p>
    <w:p w14:paraId="53A9FA3D" w14:textId="44F9CEA2" w:rsidR="007F1B45" w:rsidRDefault="007F1B45" w:rsidP="00C72743">
      <w:pPr>
        <w:jc w:val="both"/>
        <w:rPr>
          <w:b/>
          <w:bCs/>
        </w:rPr>
      </w:pPr>
      <w:r>
        <w:rPr>
          <w:b/>
          <w:bCs/>
        </w:rPr>
        <w:t xml:space="preserve">Précision pour les installations papetières, afin d’éviter toute confusion : </w:t>
      </w:r>
    </w:p>
    <w:p w14:paraId="0E014A36" w14:textId="77777777" w:rsidR="007F1B45" w:rsidRDefault="007F1B45" w:rsidP="007F1B45">
      <w:pPr>
        <w:spacing w:before="100" w:beforeAutospacing="1" w:after="100" w:afterAutospacing="1"/>
      </w:pPr>
      <w:r>
        <w:rPr>
          <w:b/>
          <w:bCs/>
        </w:rPr>
        <w:t xml:space="preserve">1/ S’agissant de la production de </w:t>
      </w:r>
      <w:r>
        <w:rPr>
          <w:b/>
          <w:bCs/>
          <w:u w:val="single"/>
        </w:rPr>
        <w:t xml:space="preserve">biogaz </w:t>
      </w:r>
      <w:r>
        <w:rPr>
          <w:b/>
          <w:bCs/>
        </w:rPr>
        <w:t>sur les sites papetiers ne bénéficiant pas de dispositif de soutien à la production </w:t>
      </w:r>
    </w:p>
    <w:p w14:paraId="6288B841" w14:textId="77777777" w:rsidR="007F1B45" w:rsidRDefault="007F1B45" w:rsidP="007F1B45">
      <w:pPr>
        <w:pStyle w:val="Paragraphedeliste"/>
        <w:numPr>
          <w:ilvl w:val="0"/>
          <w:numId w:val="2"/>
        </w:numPr>
        <w:spacing w:before="100" w:beforeAutospacing="1" w:after="100" w:afterAutospacing="1" w:line="240" w:lineRule="auto"/>
        <w:contextualSpacing w:val="0"/>
      </w:pPr>
      <w:r>
        <w:t xml:space="preserve">Les volume de biogaz ne figurent pas dans les statistiques de production de biogaz du Ministère (cf. </w:t>
      </w:r>
      <w:hyperlink r:id="rId8" w:history="1">
        <w:r>
          <w:rPr>
            <w:rStyle w:val="Lienhypertexte"/>
          </w:rPr>
          <w:t>chiffres clés des énergies renouvelables</w:t>
        </w:r>
      </w:hyperlink>
      <w:r>
        <w:t xml:space="preserve">) ; </w:t>
      </w:r>
    </w:p>
    <w:p w14:paraId="3211901F" w14:textId="517530D0" w:rsidR="007F1B45" w:rsidRDefault="007F1B45" w:rsidP="007F1B45">
      <w:pPr>
        <w:pStyle w:val="Paragraphedeliste"/>
        <w:numPr>
          <w:ilvl w:val="0"/>
          <w:numId w:val="2"/>
        </w:numPr>
        <w:spacing w:before="100" w:beforeAutospacing="1" w:after="100" w:afterAutospacing="1" w:line="240" w:lineRule="auto"/>
        <w:contextualSpacing w:val="0"/>
      </w:pPr>
      <w:r>
        <w:t xml:space="preserve">Et ces sites papetiers utiliseront le fichier de déclaration </w:t>
      </w:r>
      <w:r>
        <w:rPr>
          <w:u w:val="single"/>
        </w:rPr>
        <w:t>de la durabilité de l’électricité et la chaleur</w:t>
      </w:r>
      <w:r w:rsidR="00A515B9">
        <w:t xml:space="preserve">, </w:t>
      </w:r>
      <w:r w:rsidR="00A515B9" w:rsidRPr="00D30B46">
        <w:t xml:space="preserve">dans sa version adaptée à la production à partir de biogaz dont les consignés sont précisées dans ce </w:t>
      </w:r>
      <w:r w:rsidR="00BF7BA2" w:rsidRPr="00D30B46">
        <w:t>document</w:t>
      </w:r>
    </w:p>
    <w:p w14:paraId="66D2CE6D" w14:textId="77777777" w:rsidR="007F1B45" w:rsidRDefault="007F1B45" w:rsidP="007F1B45">
      <w:pPr>
        <w:spacing w:before="100" w:beforeAutospacing="1" w:after="100" w:afterAutospacing="1"/>
      </w:pPr>
      <w:r>
        <w:rPr>
          <w:b/>
          <w:bCs/>
        </w:rPr>
        <w:t xml:space="preserve">2/ S’agissant de la production de </w:t>
      </w:r>
      <w:r>
        <w:rPr>
          <w:b/>
          <w:bCs/>
          <w:u w:val="single"/>
        </w:rPr>
        <w:t xml:space="preserve">biométhane </w:t>
      </w:r>
      <w:r>
        <w:rPr>
          <w:b/>
          <w:bCs/>
        </w:rPr>
        <w:t xml:space="preserve">sur les sites papetiers bénéficiant de dispositif de soutien à la production </w:t>
      </w:r>
    </w:p>
    <w:p w14:paraId="40460B48" w14:textId="7DF9E8D0" w:rsidR="007F1B45" w:rsidRDefault="007F1B45" w:rsidP="007F1B45">
      <w:pPr>
        <w:pStyle w:val="Paragraphedeliste"/>
        <w:numPr>
          <w:ilvl w:val="0"/>
          <w:numId w:val="3"/>
        </w:numPr>
        <w:spacing w:before="100" w:beforeAutospacing="1" w:after="100" w:afterAutospacing="1" w:line="240" w:lineRule="auto"/>
        <w:contextualSpacing w:val="0"/>
      </w:pPr>
      <w:r>
        <w:t xml:space="preserve">Les volumes de biogaz figureront dans les statistiques de production d’énergie renouvelable ; </w:t>
      </w:r>
    </w:p>
    <w:p w14:paraId="7AE44348" w14:textId="0FDEF7F0" w:rsidR="007F1B45" w:rsidRDefault="007F1B45" w:rsidP="007F1B45">
      <w:pPr>
        <w:pStyle w:val="Paragraphedeliste"/>
        <w:numPr>
          <w:ilvl w:val="0"/>
          <w:numId w:val="3"/>
        </w:numPr>
        <w:spacing w:before="100" w:beforeAutospacing="1" w:after="100" w:afterAutospacing="1" w:line="240" w:lineRule="auto"/>
        <w:contextualSpacing w:val="0"/>
      </w:pPr>
      <w:r>
        <w:t xml:space="preserve">Et ces sites papetiers utiliseront le fichier de déclaration </w:t>
      </w:r>
      <w:r>
        <w:rPr>
          <w:u w:val="single"/>
        </w:rPr>
        <w:t>de la durabilité dédié à la méthanisation</w:t>
      </w:r>
      <w:r w:rsidR="00A515B9">
        <w:t>.</w:t>
      </w:r>
    </w:p>
    <w:p w14:paraId="4FAAC656" w14:textId="77777777" w:rsidR="007F1B45" w:rsidRPr="007F1B45" w:rsidRDefault="007F1B45" w:rsidP="007F1B45">
      <w:pPr>
        <w:pStyle w:val="Paragraphedeliste"/>
        <w:spacing w:before="100" w:beforeAutospacing="1" w:after="100" w:afterAutospacing="1" w:line="240" w:lineRule="auto"/>
        <w:contextualSpacing w:val="0"/>
      </w:pPr>
    </w:p>
    <w:p w14:paraId="6203C222" w14:textId="77777777" w:rsidR="000B5960" w:rsidRPr="00C72743" w:rsidRDefault="000B5960">
      <w:pPr>
        <w:rPr>
          <w:b/>
          <w:bCs/>
        </w:rPr>
      </w:pPr>
    </w:p>
    <w:p w14:paraId="0C8F9FD4" w14:textId="1C5348C4" w:rsidR="00F3713F" w:rsidRDefault="00F3713F" w:rsidP="00F3713F">
      <w:pPr>
        <w:jc w:val="both"/>
      </w:pPr>
      <w:r w:rsidRPr="00F3713F">
        <w:rPr>
          <w:b/>
          <w:bCs/>
          <w:shd w:val="clear" w:color="auto" w:fill="FFE599" w:themeFill="accent4" w:themeFillTint="66"/>
        </w:rPr>
        <w:t>En gras surligné jaune :</w:t>
      </w:r>
      <w:r>
        <w:t xml:space="preserve"> les informations non requises pour les opérateurs non soumis à exigences GES, à priori</w:t>
      </w:r>
      <w:r w:rsidRPr="003B5241">
        <w:rPr>
          <w:b/>
          <w:bCs/>
        </w:rPr>
        <w:t xml:space="preserve"> les </w:t>
      </w:r>
      <w:r w:rsidR="00B43640">
        <w:rPr>
          <w:b/>
          <w:bCs/>
        </w:rPr>
        <w:t>méthaniseurs</w:t>
      </w:r>
      <w:r w:rsidRPr="003B5241">
        <w:rPr>
          <w:b/>
          <w:bCs/>
        </w:rPr>
        <w:t xml:space="preserve"> dont la mise en service est antérieure au 01/01/2021.</w:t>
      </w:r>
    </w:p>
    <w:p w14:paraId="03B1E13E" w14:textId="77777777" w:rsidR="002B6A49" w:rsidRDefault="002B6A49" w:rsidP="00F3713F">
      <w:pPr>
        <w:jc w:val="both"/>
      </w:pPr>
    </w:p>
    <w:p w14:paraId="1693BA4E" w14:textId="2DEEA1FA" w:rsidR="002B6A49" w:rsidRDefault="002B6A49" w:rsidP="00F3713F">
      <w:pPr>
        <w:pBdr>
          <w:top w:val="single" w:sz="4" w:space="1" w:color="auto"/>
          <w:left w:val="single" w:sz="4" w:space="4" w:color="auto"/>
          <w:bottom w:val="single" w:sz="4" w:space="1" w:color="auto"/>
          <w:right w:val="single" w:sz="4" w:space="4" w:color="auto"/>
        </w:pBdr>
        <w:jc w:val="both"/>
      </w:pPr>
      <w:r>
        <w:t xml:space="preserve">Onglet </w:t>
      </w:r>
      <w:r w:rsidRPr="002B6A49">
        <w:t>0. Installation</w:t>
      </w:r>
    </w:p>
    <w:p w14:paraId="4D374FAC" w14:textId="1A28B980" w:rsidR="002B6A49" w:rsidRDefault="002B6A49" w:rsidP="00F3713F">
      <w:pPr>
        <w:jc w:val="both"/>
      </w:pPr>
      <w:r>
        <w:t>Données génériques de l’installation et</w:t>
      </w:r>
      <w:r w:rsidR="00006BDE">
        <w:t xml:space="preserve"> en particulier,</w:t>
      </w:r>
      <w:r>
        <w:t xml:space="preserve"> de l’unité de cogénération/</w:t>
      </w:r>
      <w:r w:rsidR="00006BDE">
        <w:t>l’</w:t>
      </w:r>
      <w:r w:rsidR="00F3713F">
        <w:t>unité de production électrique/</w:t>
      </w:r>
      <w:r w:rsidR="00006BDE">
        <w:t>l’</w:t>
      </w:r>
      <w:r w:rsidR="00F3713F">
        <w:t>unité de production thermique.</w:t>
      </w:r>
    </w:p>
    <w:p w14:paraId="08C3F6C1" w14:textId="167F02F2" w:rsidR="00F3713F" w:rsidRDefault="00F3713F" w:rsidP="00F3713F">
      <w:pPr>
        <w:shd w:val="clear" w:color="auto" w:fill="FFE599" w:themeFill="accent4" w:themeFillTint="66"/>
        <w:jc w:val="both"/>
        <w:rPr>
          <w:b/>
          <w:bCs/>
        </w:rPr>
      </w:pPr>
      <w:r w:rsidRPr="00F3713F">
        <w:rPr>
          <w:b/>
          <w:bCs/>
        </w:rPr>
        <w:t>Les rendements et la température utile ne sont pas exigés pour les opérateurs non soumis à l’exigence GES.</w:t>
      </w:r>
    </w:p>
    <w:p w14:paraId="21A0B104" w14:textId="77777777" w:rsidR="00F3713F" w:rsidRPr="00F3713F" w:rsidRDefault="00F3713F" w:rsidP="00F3713F">
      <w:pPr>
        <w:jc w:val="both"/>
        <w:rPr>
          <w:b/>
          <w:bCs/>
        </w:rPr>
      </w:pPr>
    </w:p>
    <w:p w14:paraId="20D9EC7B" w14:textId="08A0A8F9" w:rsidR="00F3713F" w:rsidRDefault="00F3713F" w:rsidP="00F3713F">
      <w:pPr>
        <w:pBdr>
          <w:top w:val="single" w:sz="4" w:space="1" w:color="auto"/>
          <w:left w:val="single" w:sz="4" w:space="4" w:color="auto"/>
          <w:bottom w:val="single" w:sz="4" w:space="1" w:color="auto"/>
          <w:right w:val="single" w:sz="4" w:space="4" w:color="auto"/>
        </w:pBdr>
        <w:jc w:val="both"/>
      </w:pPr>
      <w:r>
        <w:lastRenderedPageBreak/>
        <w:t>Onglet 1. Déclaration</w:t>
      </w:r>
    </w:p>
    <w:p w14:paraId="2CC055C9" w14:textId="204570A3" w:rsidR="002B6A49" w:rsidRDefault="00F3713F" w:rsidP="00F3713F">
      <w:pPr>
        <w:jc w:val="both"/>
      </w:pPr>
      <w:r>
        <w:t xml:space="preserve">L’opérateur va, a priori, trouver les catégories de biomasse le concernant </w:t>
      </w:r>
      <w:r w:rsidRPr="00F3713F">
        <w:rPr>
          <w:b/>
          <w:bCs/>
        </w:rPr>
        <w:t>dans le bloc 4</w:t>
      </w:r>
      <w:r>
        <w:rPr>
          <w:b/>
          <w:bCs/>
        </w:rPr>
        <w:t xml:space="preserve"> (lignes 132 et suivantes)</w:t>
      </w:r>
      <w:r>
        <w:t> </w:t>
      </w:r>
      <w:r w:rsidR="003B5241">
        <w:t>avec</w:t>
      </w:r>
      <w:r>
        <w:t xml:space="preserve"> autant de lignes à renseigner que de types d’intrants (menu déroulant en colonne A), en indiquant les tonnages, et informations correspondantes (distance de collecte, </w:t>
      </w:r>
      <w:r w:rsidR="00006BDE">
        <w:t xml:space="preserve">pays d’origine, </w:t>
      </w:r>
      <w:r>
        <w:t>part du lot (en tonnes) bénéficiant d’une certification</w:t>
      </w:r>
      <w:r>
        <w:rPr>
          <w:rStyle w:val="Appelnotedebasdep"/>
        </w:rPr>
        <w:footnoteReference w:id="1"/>
      </w:r>
      <w:r w:rsidR="00EF292E">
        <w:t>,…)</w:t>
      </w:r>
      <w:r w:rsidR="00F122AF">
        <w:t>.</w:t>
      </w:r>
    </w:p>
    <w:p w14:paraId="22FEEA65" w14:textId="30DF4A85" w:rsidR="00F122AF" w:rsidRDefault="00A71A11" w:rsidP="00F3713F">
      <w:pPr>
        <w:jc w:val="both"/>
      </w:pPr>
      <w:r>
        <w:rPr>
          <w:b/>
          <w:bCs/>
        </w:rPr>
        <w:t>Spécificité de ce tableur par rapport au cas général</w:t>
      </w:r>
      <w:r w:rsidR="007D1811" w:rsidRPr="00C72743">
        <w:rPr>
          <w:b/>
          <w:bCs/>
        </w:rPr>
        <w:t> :</w:t>
      </w:r>
      <w:r w:rsidR="007D1811">
        <w:t xml:space="preserve"> </w:t>
      </w:r>
      <w:r w:rsidR="00F122AF">
        <w:t>Bien qu’à chaque ligne corresponde un unique intrant, il y a possibilité pour l’opérateur de combiner différents intrants au sein d’un même lot de biogaz. Pour cela, il suffit d’indiquer le même numéro de lot pour plusieurs intrants, aux lignes correspondantes de la colonne C « N° de lot ».</w:t>
      </w:r>
    </w:p>
    <w:p w14:paraId="24CD5830" w14:textId="751A6716" w:rsidR="00F3713F" w:rsidRPr="005E64A0" w:rsidRDefault="005E64A0" w:rsidP="005E64A0">
      <w:pPr>
        <w:shd w:val="clear" w:color="auto" w:fill="FFE599" w:themeFill="accent4" w:themeFillTint="66"/>
        <w:jc w:val="both"/>
        <w:rPr>
          <w:b/>
          <w:bCs/>
        </w:rPr>
      </w:pPr>
      <w:r w:rsidRPr="005E64A0">
        <w:rPr>
          <w:b/>
          <w:bCs/>
        </w:rPr>
        <w:t xml:space="preserve">Pour les opérateurs non soumis à l’exigence GES, et </w:t>
      </w:r>
      <w:r w:rsidR="00A27FC1">
        <w:rPr>
          <w:b/>
          <w:bCs/>
        </w:rPr>
        <w:t>consommant</w:t>
      </w:r>
      <w:r w:rsidRPr="005E64A0">
        <w:rPr>
          <w:b/>
          <w:bCs/>
        </w:rPr>
        <w:t xml:space="preserve"> l’un des 4 types d’intrants de nature liquide </w:t>
      </w:r>
      <w:r w:rsidRPr="00860883">
        <w:rPr>
          <w:b/>
          <w:bCs/>
          <w:i/>
          <w:iCs/>
        </w:rPr>
        <w:t>("Graisses de station d’épuration", "Déchets IAA liquides (&lt;20% MS)", "Déchets liquides industriels", "Autre type de bioliquide (préciser)"</w:t>
      </w:r>
      <w:r w:rsidRPr="005E64A0">
        <w:rPr>
          <w:b/>
          <w:bCs/>
        </w:rPr>
        <w:t xml:space="preserve">), ne pas tenir compte des indications du tableur relative à l’exigence GES en colonne U : ces exigences s’appliquent uniquement aux opérateurs </w:t>
      </w:r>
      <w:r w:rsidR="00A27FC1">
        <w:rPr>
          <w:b/>
          <w:bCs/>
        </w:rPr>
        <w:t>consommant</w:t>
      </w:r>
      <w:r w:rsidRPr="005E64A0">
        <w:rPr>
          <w:b/>
          <w:bCs/>
        </w:rPr>
        <w:t xml:space="preserve"> de tels liquides en combustion directe.</w:t>
      </w:r>
    </w:p>
    <w:p w14:paraId="546CB1CF" w14:textId="77777777" w:rsidR="005E64A0" w:rsidRPr="00F3713F" w:rsidRDefault="005E64A0" w:rsidP="00F3713F">
      <w:pPr>
        <w:jc w:val="both"/>
        <w:rPr>
          <w:b/>
          <w:bCs/>
        </w:rPr>
      </w:pPr>
    </w:p>
    <w:p w14:paraId="74BCFCAE" w14:textId="7F95C93D" w:rsidR="00F3713F" w:rsidRDefault="00F3713F" w:rsidP="00F3713F">
      <w:pPr>
        <w:pBdr>
          <w:top w:val="single" w:sz="4" w:space="1" w:color="auto"/>
          <w:left w:val="single" w:sz="4" w:space="4" w:color="auto"/>
          <w:bottom w:val="single" w:sz="4" w:space="1" w:color="auto"/>
          <w:right w:val="single" w:sz="4" w:space="4" w:color="auto"/>
        </w:pBdr>
        <w:jc w:val="both"/>
      </w:pPr>
      <w:r>
        <w:t>Onglet 2. Détail calcul GES</w:t>
      </w:r>
    </w:p>
    <w:p w14:paraId="4F098CCC" w14:textId="07F8D68C" w:rsidR="00F3713F" w:rsidRDefault="00F27CB3" w:rsidP="00F3713F">
      <w:pPr>
        <w:jc w:val="both"/>
      </w:pPr>
      <w:r>
        <w:t>L</w:t>
      </w:r>
      <w:r w:rsidR="00F3713F">
        <w:t>’opérateur doit fournir le détail de son calcul GES</w:t>
      </w:r>
      <w:r w:rsidR="00EF292E">
        <w:t>, éventuellement en s’appuyant sur un outil filière (</w:t>
      </w:r>
      <w:r w:rsidR="004106BE">
        <w:t>par exemple,</w:t>
      </w:r>
      <w:r w:rsidR="00EF292E">
        <w:t xml:space="preserve"> l’outil France Gaz Renouvelable).</w:t>
      </w:r>
    </w:p>
    <w:p w14:paraId="54F116E5" w14:textId="3339AC8B" w:rsidR="00B135C0" w:rsidRDefault="00B135C0" w:rsidP="00F3713F">
      <w:pPr>
        <w:jc w:val="both"/>
      </w:pPr>
      <w:r>
        <w:t>L’opérateur doit remplir un intrant par ligne, en indiquant le même numéro de lot pour les intrants qui ont été combinés dans un même lot dans l’onglet 1.</w:t>
      </w:r>
    </w:p>
    <w:p w14:paraId="3C028A3C" w14:textId="3BA31A6C" w:rsidR="00B135C0" w:rsidRDefault="00B135C0" w:rsidP="00F3713F">
      <w:pPr>
        <w:jc w:val="both"/>
        <w:rPr>
          <w:b/>
          <w:bCs/>
        </w:rPr>
      </w:pPr>
      <w:r>
        <w:t xml:space="preserve">Les colonnes vertes (D à K) correspondent aux données relatives à chaque intrant qui compose un lot. </w:t>
      </w:r>
      <w:r w:rsidRPr="00C72743">
        <w:rPr>
          <w:b/>
          <w:bCs/>
        </w:rPr>
        <w:t>Elles doivent donc être remplies pour toutes les lignes où figure un intrant</w:t>
      </w:r>
      <w:r w:rsidR="009720B8">
        <w:rPr>
          <w:b/>
          <w:bCs/>
        </w:rPr>
        <w:t>.</w:t>
      </w:r>
    </w:p>
    <w:p w14:paraId="7B398110" w14:textId="4A4C7CD3" w:rsidR="009720B8" w:rsidRPr="009720B8" w:rsidRDefault="009720B8" w:rsidP="00F3713F">
      <w:pPr>
        <w:jc w:val="both"/>
      </w:pPr>
      <w:r>
        <w:t xml:space="preserve">Les colonnes rouges (L à W) correspondent aux données relatives aux lots : </w:t>
      </w:r>
      <w:r w:rsidRPr="00C72743">
        <w:rPr>
          <w:b/>
          <w:bCs/>
        </w:rPr>
        <w:t>les différentes composantes ne doivent donc être remplies que dans l’intrant situé en première ligne de chaque lot, et uniquement une seule fois par lot.</w:t>
      </w:r>
    </w:p>
    <w:p w14:paraId="3215DB25" w14:textId="0C5F5133" w:rsidR="00F3713F" w:rsidRDefault="00F3713F" w:rsidP="00F3713F">
      <w:pPr>
        <w:shd w:val="clear" w:color="auto" w:fill="FFE599" w:themeFill="accent4" w:themeFillTint="66"/>
        <w:jc w:val="both"/>
        <w:rPr>
          <w:b/>
          <w:bCs/>
        </w:rPr>
      </w:pPr>
      <w:r w:rsidRPr="00583CD9">
        <w:rPr>
          <w:b/>
          <w:bCs/>
        </w:rPr>
        <w:t>Pour les opérateurs non soumis à l’exigence GES, cet onglet n’est pas à renseigner.</w:t>
      </w:r>
    </w:p>
    <w:p w14:paraId="5918B774" w14:textId="44B24173" w:rsidR="00C31604" w:rsidRDefault="00C31604" w:rsidP="00C31604">
      <w:pPr>
        <w:pBdr>
          <w:top w:val="single" w:sz="4" w:space="1" w:color="auto"/>
          <w:left w:val="single" w:sz="4" w:space="4" w:color="auto"/>
          <w:bottom w:val="single" w:sz="4" w:space="1" w:color="auto"/>
          <w:right w:val="single" w:sz="4" w:space="4" w:color="auto"/>
        </w:pBdr>
        <w:jc w:val="both"/>
      </w:pPr>
      <w:r>
        <w:t xml:space="preserve">Onglet </w:t>
      </w:r>
      <w:r w:rsidR="00ED119F">
        <w:t>3</w:t>
      </w:r>
      <w:r>
        <w:t>. Attestation durabilité</w:t>
      </w:r>
    </w:p>
    <w:p w14:paraId="2442B46F" w14:textId="111C6397" w:rsidR="00C31604" w:rsidRDefault="00C31604" w:rsidP="00C31604">
      <w:pPr>
        <w:jc w:val="both"/>
      </w:pPr>
      <w:r>
        <w:t>L’opérateur doit attester qu’il est informé des exigences de certification s’appliquant pour la durabilité des bioénergies</w:t>
      </w:r>
      <w:r w:rsidR="002C5FAB">
        <w:t>, pour la biomasse agricole dans cet exemple,</w:t>
      </w:r>
      <w:r>
        <w:t xml:space="preserve"> et a engagé les démarches : cocher « OUI » en case B4</w:t>
      </w:r>
      <w:r w:rsidR="002C5FAB">
        <w:t>.</w:t>
      </w:r>
    </w:p>
    <w:p w14:paraId="03062241" w14:textId="78E811A1" w:rsidR="00F3713F" w:rsidRDefault="00F3713F" w:rsidP="00F3713F">
      <w:pPr>
        <w:jc w:val="both"/>
        <w:rPr>
          <w:b/>
          <w:bCs/>
        </w:rPr>
      </w:pPr>
    </w:p>
    <w:p w14:paraId="6BB915F6" w14:textId="7752AFD9" w:rsidR="00C31604" w:rsidRDefault="00C31604" w:rsidP="00C31604">
      <w:pPr>
        <w:pBdr>
          <w:top w:val="single" w:sz="4" w:space="1" w:color="auto"/>
          <w:left w:val="single" w:sz="4" w:space="4" w:color="auto"/>
          <w:bottom w:val="single" w:sz="4" w:space="1" w:color="auto"/>
          <w:right w:val="single" w:sz="4" w:space="4" w:color="auto"/>
        </w:pBdr>
        <w:jc w:val="both"/>
      </w:pPr>
      <w:r>
        <w:t xml:space="preserve">Onglet </w:t>
      </w:r>
      <w:r w:rsidR="00ED119F">
        <w:t>4</w:t>
      </w:r>
      <w:r>
        <w:t>. Attestation GES</w:t>
      </w:r>
    </w:p>
    <w:p w14:paraId="368C61F3" w14:textId="62725248" w:rsidR="00C31604" w:rsidRPr="00006BDE" w:rsidRDefault="00C31604" w:rsidP="00C31604">
      <w:pPr>
        <w:jc w:val="both"/>
        <w:rPr>
          <w:b/>
          <w:bCs/>
        </w:rPr>
      </w:pPr>
      <w:r>
        <w:t xml:space="preserve">Cet onglet concerne a priori la filière bois-énergie et le bloc 1 de l’onglet 1. Déclaration : </w:t>
      </w:r>
      <w:r w:rsidRPr="00006BDE">
        <w:rPr>
          <w:b/>
          <w:bCs/>
        </w:rPr>
        <w:t>cet onglet est a priori sans objet pour les méthaniseurs agricoles.</w:t>
      </w:r>
    </w:p>
    <w:p w14:paraId="42966A30" w14:textId="77777777" w:rsidR="00C31604" w:rsidRPr="00F3713F" w:rsidRDefault="00C31604" w:rsidP="00C31604">
      <w:pPr>
        <w:shd w:val="clear" w:color="auto" w:fill="FFE599" w:themeFill="accent4" w:themeFillTint="66"/>
        <w:jc w:val="both"/>
        <w:rPr>
          <w:b/>
          <w:bCs/>
        </w:rPr>
      </w:pPr>
      <w:r>
        <w:rPr>
          <w:b/>
          <w:bCs/>
        </w:rPr>
        <w:t>Pour</w:t>
      </w:r>
      <w:r w:rsidRPr="00F3713F">
        <w:rPr>
          <w:b/>
          <w:bCs/>
        </w:rPr>
        <w:t xml:space="preserve"> les opérateurs non soumis à l’exigence GES</w:t>
      </w:r>
      <w:r>
        <w:rPr>
          <w:b/>
          <w:bCs/>
        </w:rPr>
        <w:t>, cet onglet n’est pas à renseigner.</w:t>
      </w:r>
    </w:p>
    <w:p w14:paraId="79F94AD7" w14:textId="6D947F7C" w:rsidR="00C31604" w:rsidRDefault="00C31604" w:rsidP="00F3713F">
      <w:pPr>
        <w:jc w:val="both"/>
        <w:rPr>
          <w:b/>
          <w:bCs/>
        </w:rPr>
      </w:pPr>
    </w:p>
    <w:p w14:paraId="121F3FF7" w14:textId="08B0403B" w:rsidR="00C31604" w:rsidRDefault="00C31604" w:rsidP="00C31604">
      <w:pPr>
        <w:pBdr>
          <w:top w:val="single" w:sz="4" w:space="1" w:color="auto"/>
          <w:left w:val="single" w:sz="4" w:space="4" w:color="auto"/>
          <w:bottom w:val="single" w:sz="4" w:space="1" w:color="auto"/>
          <w:right w:val="single" w:sz="4" w:space="4" w:color="auto"/>
        </w:pBdr>
        <w:jc w:val="both"/>
      </w:pPr>
      <w:r>
        <w:t xml:space="preserve">Onglet </w:t>
      </w:r>
      <w:r w:rsidR="00ED119F">
        <w:t>5</w:t>
      </w:r>
      <w:r>
        <w:t xml:space="preserve">. Effic. </w:t>
      </w:r>
      <w:proofErr w:type="gramStart"/>
      <w:r>
        <w:t>éner</w:t>
      </w:r>
      <w:proofErr w:type="gramEnd"/>
    </w:p>
    <w:p w14:paraId="242CFCF3" w14:textId="27823A3D" w:rsidR="00C31604" w:rsidRPr="00C31604" w:rsidRDefault="00C31604" w:rsidP="00F3713F">
      <w:pPr>
        <w:jc w:val="both"/>
        <w:rPr>
          <w:b/>
          <w:bCs/>
        </w:rPr>
      </w:pPr>
      <w:r>
        <w:t xml:space="preserve">Cet onglet ne s’applique qu’aux installation produisant de l’électricité </w:t>
      </w:r>
      <w:r w:rsidRPr="00C31604">
        <w:rPr>
          <w:b/>
          <w:bCs/>
        </w:rPr>
        <w:t>et mises en service après le 25 décembre 2021.</w:t>
      </w:r>
    </w:p>
    <w:p w14:paraId="78D40460" w14:textId="0844C433" w:rsidR="002B6A49" w:rsidRDefault="00C31604" w:rsidP="00006BDE">
      <w:pPr>
        <w:jc w:val="both"/>
      </w:pPr>
      <w:r>
        <w:t xml:space="preserve">Le cas échéant, il </w:t>
      </w:r>
      <w:r w:rsidR="00006BDE">
        <w:t xml:space="preserve">y </w:t>
      </w:r>
      <w:r>
        <w:t>a de fortes chances pour que l’opérateur soit dans le cas 1 (installation &lt; 50 MW) </w:t>
      </w:r>
      <w:r w:rsidR="00006BDE">
        <w:t xml:space="preserve">et doive </w:t>
      </w:r>
      <w:r>
        <w:t>cocher « OUI » en case B6.</w:t>
      </w:r>
    </w:p>
    <w:sectPr w:rsidR="002B6A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8C9D7" w14:textId="77777777" w:rsidR="00F3713F" w:rsidRDefault="00F3713F" w:rsidP="00F3713F">
      <w:pPr>
        <w:spacing w:after="0" w:line="240" w:lineRule="auto"/>
      </w:pPr>
      <w:r>
        <w:separator/>
      </w:r>
    </w:p>
  </w:endnote>
  <w:endnote w:type="continuationSeparator" w:id="0">
    <w:p w14:paraId="4EF3C00F" w14:textId="77777777" w:rsidR="00F3713F" w:rsidRDefault="00F3713F" w:rsidP="00F3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E3C3B" w14:textId="77777777" w:rsidR="00F3713F" w:rsidRDefault="00F3713F" w:rsidP="00F3713F">
      <w:pPr>
        <w:spacing w:after="0" w:line="240" w:lineRule="auto"/>
      </w:pPr>
      <w:r>
        <w:separator/>
      </w:r>
    </w:p>
  </w:footnote>
  <w:footnote w:type="continuationSeparator" w:id="0">
    <w:p w14:paraId="0CEF4681" w14:textId="77777777" w:rsidR="00F3713F" w:rsidRDefault="00F3713F" w:rsidP="00F3713F">
      <w:pPr>
        <w:spacing w:after="0" w:line="240" w:lineRule="auto"/>
      </w:pPr>
      <w:r>
        <w:continuationSeparator/>
      </w:r>
    </w:p>
  </w:footnote>
  <w:footnote w:id="1">
    <w:p w14:paraId="0DC9B055" w14:textId="45102D08" w:rsidR="00F3713F" w:rsidRDefault="00F3713F">
      <w:pPr>
        <w:pStyle w:val="Notedebasdepage"/>
      </w:pPr>
      <w:r>
        <w:rPr>
          <w:rStyle w:val="Appelnotedebasdep"/>
        </w:rPr>
        <w:footnoteRef/>
      </w:r>
      <w:r>
        <w:t xml:space="preserve"> Si l’installation est déjà elle-même certifiée, et que ses approvisionnements proviennent de l’exploitation agricole, a priori la totalité du lot peut être considérée comme couvert par la certification.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822B2"/>
    <w:multiLevelType w:val="hybridMultilevel"/>
    <w:tmpl w:val="EBA25D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4B6AF2"/>
    <w:multiLevelType w:val="hybridMultilevel"/>
    <w:tmpl w:val="02F82D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557064"/>
    <w:multiLevelType w:val="hybridMultilevel"/>
    <w:tmpl w:val="0F9C18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83755EF"/>
    <w:multiLevelType w:val="multilevel"/>
    <w:tmpl w:val="0586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B66B81"/>
    <w:multiLevelType w:val="multilevel"/>
    <w:tmpl w:val="E302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A8"/>
    <w:rsid w:val="0000308F"/>
    <w:rsid w:val="00006BDE"/>
    <w:rsid w:val="000B5960"/>
    <w:rsid w:val="00295EA8"/>
    <w:rsid w:val="002A4FDB"/>
    <w:rsid w:val="002B6A49"/>
    <w:rsid w:val="002C5FAB"/>
    <w:rsid w:val="003B5241"/>
    <w:rsid w:val="004106BE"/>
    <w:rsid w:val="0047466C"/>
    <w:rsid w:val="00551F8F"/>
    <w:rsid w:val="00583CD9"/>
    <w:rsid w:val="005E64A0"/>
    <w:rsid w:val="00652623"/>
    <w:rsid w:val="007D1811"/>
    <w:rsid w:val="007F1B45"/>
    <w:rsid w:val="00860883"/>
    <w:rsid w:val="00877BF1"/>
    <w:rsid w:val="009720B8"/>
    <w:rsid w:val="009A6FA0"/>
    <w:rsid w:val="00A27FC1"/>
    <w:rsid w:val="00A33078"/>
    <w:rsid w:val="00A515B9"/>
    <w:rsid w:val="00A71A11"/>
    <w:rsid w:val="00AA355F"/>
    <w:rsid w:val="00B135C0"/>
    <w:rsid w:val="00B43640"/>
    <w:rsid w:val="00BF7BA2"/>
    <w:rsid w:val="00C1455E"/>
    <w:rsid w:val="00C31604"/>
    <w:rsid w:val="00C37257"/>
    <w:rsid w:val="00C72743"/>
    <w:rsid w:val="00D30B46"/>
    <w:rsid w:val="00E559F9"/>
    <w:rsid w:val="00ED119F"/>
    <w:rsid w:val="00EF292E"/>
    <w:rsid w:val="00F122AF"/>
    <w:rsid w:val="00F27CB3"/>
    <w:rsid w:val="00F3713F"/>
    <w:rsid w:val="00F533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68B5B"/>
  <w15:chartTrackingRefBased/>
  <w15:docId w15:val="{C4310AA9-37F4-46B8-AF3D-7B50AD5BF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07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3713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3713F"/>
    <w:rPr>
      <w:sz w:val="20"/>
      <w:szCs w:val="20"/>
    </w:rPr>
  </w:style>
  <w:style w:type="character" w:styleId="Appelnotedebasdep">
    <w:name w:val="footnote reference"/>
    <w:basedOn w:val="Policepardfaut"/>
    <w:uiPriority w:val="99"/>
    <w:semiHidden/>
    <w:unhideWhenUsed/>
    <w:rsid w:val="00F3713F"/>
    <w:rPr>
      <w:vertAlign w:val="superscript"/>
    </w:rPr>
  </w:style>
  <w:style w:type="character" w:styleId="Lienhypertexte">
    <w:name w:val="Hyperlink"/>
    <w:basedOn w:val="Policepardfaut"/>
    <w:uiPriority w:val="99"/>
    <w:unhideWhenUsed/>
    <w:rsid w:val="00EF292E"/>
    <w:rPr>
      <w:color w:val="0563C1" w:themeColor="hyperlink"/>
      <w:u w:val="single"/>
    </w:rPr>
  </w:style>
  <w:style w:type="character" w:styleId="Mentionnonrsolue">
    <w:name w:val="Unresolved Mention"/>
    <w:basedOn w:val="Policepardfaut"/>
    <w:uiPriority w:val="99"/>
    <w:semiHidden/>
    <w:unhideWhenUsed/>
    <w:rsid w:val="00EF292E"/>
    <w:rPr>
      <w:color w:val="605E5C"/>
      <w:shd w:val="clear" w:color="auto" w:fill="E1DFDD"/>
    </w:rPr>
  </w:style>
  <w:style w:type="paragraph" w:styleId="Paragraphedeliste">
    <w:name w:val="List Paragraph"/>
    <w:basedOn w:val="Normal"/>
    <w:uiPriority w:val="34"/>
    <w:qFormat/>
    <w:rsid w:val="005E64A0"/>
    <w:pPr>
      <w:ind w:left="720"/>
      <w:contextualSpacing/>
    </w:pPr>
  </w:style>
  <w:style w:type="character" w:styleId="Lienhypertextesuivivisit">
    <w:name w:val="FollowedHyperlink"/>
    <w:basedOn w:val="Policepardfaut"/>
    <w:uiPriority w:val="99"/>
    <w:semiHidden/>
    <w:unhideWhenUsed/>
    <w:rsid w:val="00A330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45157">
      <w:bodyDiv w:val="1"/>
      <w:marLeft w:val="0"/>
      <w:marRight w:val="0"/>
      <w:marTop w:val="0"/>
      <w:marBottom w:val="0"/>
      <w:divBdr>
        <w:top w:val="none" w:sz="0" w:space="0" w:color="auto"/>
        <w:left w:val="none" w:sz="0" w:space="0" w:color="auto"/>
        <w:bottom w:val="none" w:sz="0" w:space="0" w:color="auto"/>
        <w:right w:val="none" w:sz="0" w:space="0" w:color="auto"/>
      </w:divBdr>
    </w:div>
    <w:div w:id="208695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bc-fr-02.mailinblack.com/securelink/?url=https://www.statistiques.developpement-durable.gouv.fr&amp;key=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%20lXZzNMUDc3QlJiTUw5Tk9LYUV0T3lxdGRpU0tKb2EifQ=="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D62EF-1BFD-431E-A036-45BBCC3B3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855</Words>
  <Characters>4704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Duhalde</dc:creator>
  <cp:keywords/>
  <dc:description/>
  <cp:lastModifiedBy>IZZO Luca</cp:lastModifiedBy>
  <cp:revision>28</cp:revision>
  <dcterms:created xsi:type="dcterms:W3CDTF">2024-02-15T18:07:00Z</dcterms:created>
  <dcterms:modified xsi:type="dcterms:W3CDTF">2025-12-18T17:56:00Z</dcterms:modified>
</cp:coreProperties>
</file>