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B7068" w14:textId="77777777" w:rsidR="001A1360" w:rsidRDefault="004B6FD1">
      <w:pPr>
        <w:jc w:val="center"/>
        <w:rPr>
          <w:rFonts w:ascii="Times New Roman" w:hAnsi="Times New Roman" w:cs="Times New Roman"/>
          <w:b/>
          <w:sz w:val="24"/>
          <w:szCs w:val="24"/>
        </w:rPr>
      </w:pPr>
      <w:r>
        <w:rPr>
          <w:rFonts w:ascii="Times New Roman" w:hAnsi="Times New Roman" w:cs="Times New Roman"/>
          <w:b/>
          <w:sz w:val="24"/>
          <w:szCs w:val="24"/>
        </w:rPr>
        <w:t>RAPPORT DE PRESENTATION</w:t>
      </w:r>
    </w:p>
    <w:p w14:paraId="6EF403BF" w14:textId="77777777" w:rsidR="001A1360" w:rsidRDefault="004B6FD1">
      <w:pPr>
        <w:jc w:val="center"/>
        <w:rPr>
          <w:rFonts w:ascii="Times New Roman" w:hAnsi="Times New Roman" w:cs="Times New Roman"/>
          <w:b/>
          <w:sz w:val="24"/>
          <w:szCs w:val="24"/>
        </w:rPr>
      </w:pPr>
      <w:r>
        <w:rPr>
          <w:rFonts w:ascii="Times New Roman" w:hAnsi="Times New Roman" w:cs="Times New Roman"/>
          <w:b/>
          <w:sz w:val="24"/>
          <w:szCs w:val="24"/>
        </w:rPr>
        <w:t>du projet d’arrêté fixant le montant des frais de tenue de compte</w:t>
      </w:r>
      <w:r>
        <w:rPr>
          <w:rFonts w:ascii="Times New Roman" w:hAnsi="Times New Roman" w:cs="Times New Roman"/>
          <w:b/>
          <w:sz w:val="24"/>
          <w:szCs w:val="24"/>
        </w:rPr>
        <w:br/>
        <w:t>du registre national des certificats d’économies d’énergie</w:t>
      </w:r>
    </w:p>
    <w:p w14:paraId="2240988C" w14:textId="77777777" w:rsidR="001A1360" w:rsidRDefault="001A1360">
      <w:pPr>
        <w:rPr>
          <w:rFonts w:ascii="Times New Roman" w:hAnsi="Times New Roman" w:cs="Times New Roman"/>
          <w:sz w:val="24"/>
          <w:szCs w:val="24"/>
        </w:rPr>
      </w:pPr>
    </w:p>
    <w:p w14:paraId="2328E48A" w14:textId="77777777" w:rsidR="001A1360" w:rsidRDefault="004B6FD1">
      <w:pPr>
        <w:rPr>
          <w:rFonts w:ascii="Times New Roman" w:hAnsi="Times New Roman" w:cs="Times New Roman"/>
          <w:b/>
          <w:sz w:val="24"/>
          <w:szCs w:val="24"/>
        </w:rPr>
      </w:pPr>
      <w:r>
        <w:rPr>
          <w:rFonts w:ascii="Times New Roman" w:hAnsi="Times New Roman" w:cs="Times New Roman"/>
          <w:b/>
          <w:sz w:val="24"/>
          <w:szCs w:val="24"/>
        </w:rPr>
        <w:t>Refonte du registre national des certificats d’économies d’énergie</w:t>
      </w:r>
    </w:p>
    <w:p w14:paraId="72D44604" w14:textId="5AE4D021" w:rsidR="001A1360" w:rsidRDefault="004B6FD1">
      <w:pPr>
        <w:jc w:val="both"/>
        <w:rPr>
          <w:rFonts w:ascii="Times New Roman" w:hAnsi="Times New Roman" w:cs="Times New Roman"/>
          <w:sz w:val="24"/>
          <w:szCs w:val="24"/>
        </w:rPr>
      </w:pPr>
      <w:r>
        <w:rPr>
          <w:rFonts w:ascii="Times New Roman" w:hAnsi="Times New Roman" w:cs="Times New Roman"/>
          <w:sz w:val="24"/>
          <w:szCs w:val="24"/>
        </w:rPr>
        <w:t>Le registre</w:t>
      </w:r>
      <w:r>
        <w:t xml:space="preserve"> </w:t>
      </w:r>
      <w:r>
        <w:rPr>
          <w:rFonts w:ascii="Times New Roman" w:hAnsi="Times New Roman" w:cs="Times New Roman"/>
          <w:sz w:val="24"/>
          <w:szCs w:val="24"/>
        </w:rPr>
        <w:t xml:space="preserve">national des certificats d’économies d’énergie a été repris par la société EEX dans sa programmation Java 7 au moment de la signature du contrat de concession </w:t>
      </w:r>
      <w:r w:rsidRPr="00A15431">
        <w:rPr>
          <w:rFonts w:ascii="Times New Roman" w:hAnsi="Times New Roman" w:cs="Times New Roman"/>
          <w:sz w:val="24"/>
          <w:szCs w:val="24"/>
        </w:rPr>
        <w:t xml:space="preserve">en </w:t>
      </w:r>
      <w:r w:rsidRPr="0012310E">
        <w:rPr>
          <w:rFonts w:ascii="Times New Roman" w:hAnsi="Times New Roman" w:cs="Times New Roman"/>
          <w:sz w:val="24"/>
          <w:szCs w:val="24"/>
        </w:rPr>
        <w:t>20</w:t>
      </w:r>
      <w:r w:rsidRPr="00A15431">
        <w:rPr>
          <w:rFonts w:ascii="Times New Roman" w:hAnsi="Times New Roman" w:cs="Times New Roman"/>
          <w:sz w:val="24"/>
          <w:szCs w:val="24"/>
        </w:rPr>
        <w:t>22 et tous les développements sont, de ce fait, réalisés sur la base d’une architecture</w:t>
      </w:r>
      <w:r>
        <w:rPr>
          <w:rFonts w:ascii="Times New Roman" w:hAnsi="Times New Roman" w:cs="Times New Roman"/>
          <w:sz w:val="24"/>
          <w:szCs w:val="24"/>
        </w:rPr>
        <w:t xml:space="preserve"> informatique vieillissante. Une refonte applicative du registre apparaît ainsi comme une nécessité pour assurer la continuité de la mission de service public de tenue du registre.</w:t>
      </w:r>
    </w:p>
    <w:p w14:paraId="548EF705" w14:textId="77777777" w:rsidR="001A1360" w:rsidRDefault="004B6FD1">
      <w:pPr>
        <w:jc w:val="both"/>
        <w:rPr>
          <w:rFonts w:ascii="Times New Roman" w:hAnsi="Times New Roman" w:cs="Times New Roman"/>
          <w:sz w:val="24"/>
          <w:szCs w:val="24"/>
        </w:rPr>
      </w:pPr>
      <w:r>
        <w:rPr>
          <w:rFonts w:ascii="Times New Roman" w:hAnsi="Times New Roman" w:cs="Times New Roman"/>
          <w:sz w:val="24"/>
          <w:szCs w:val="24"/>
        </w:rPr>
        <w:t>La modernisation du registre vise à renforcer sa performance, sa sécurité et son ergonomie afin de répondre aux besoins actuels et futurs des utilisateurs. Elle repose sur l’adoption d’un langage de programmation plus récent (au minimum Java 17), garantissant une meilleure maintenabilité et une compatibilité accrue avec les standards technologiques actuels. Une nouvelle couche technique, plus robuste et évolutive, sera mise en place pour améliorer la stabilité et la rapidité des traitements. Enfin, l’interface utilisateur sera repensée pour offrir une expérience plus intuitive et conviviale, facilitant la navigation et l’accès aux fonctionnalités clés.</w:t>
      </w:r>
    </w:p>
    <w:p w14:paraId="0BA7667E" w14:textId="77777777" w:rsidR="001A1360" w:rsidRDefault="004B6FD1">
      <w:pPr>
        <w:jc w:val="both"/>
        <w:rPr>
          <w:rFonts w:ascii="Times New Roman" w:hAnsi="Times New Roman" w:cs="Times New Roman"/>
          <w:sz w:val="24"/>
          <w:szCs w:val="24"/>
        </w:rPr>
      </w:pPr>
      <w:r>
        <w:rPr>
          <w:rFonts w:ascii="Times New Roman" w:hAnsi="Times New Roman" w:cs="Times New Roman"/>
          <w:sz w:val="24"/>
          <w:szCs w:val="24"/>
        </w:rPr>
        <w:t>Un panel d’utilisateurs participera à des ateliers concernant la revue des fonctionnalités du registre, les interfaces et les statistiques associées aux comptes des utilisateurs.</w:t>
      </w:r>
    </w:p>
    <w:p w14:paraId="3013A3ED" w14:textId="77777777" w:rsidR="001A1360" w:rsidRDefault="004B6FD1">
      <w:pPr>
        <w:jc w:val="both"/>
        <w:rPr>
          <w:rFonts w:ascii="Times New Roman" w:hAnsi="Times New Roman" w:cs="Times New Roman"/>
          <w:sz w:val="24"/>
          <w:szCs w:val="24"/>
        </w:rPr>
      </w:pPr>
      <w:r>
        <w:rPr>
          <w:rFonts w:ascii="Times New Roman" w:hAnsi="Times New Roman" w:cs="Times New Roman"/>
          <w:sz w:val="24"/>
          <w:szCs w:val="24"/>
        </w:rPr>
        <w:t>Les travaux de refonte du registre correspondent à un coût de 2,5 millions d’euros.</w:t>
      </w:r>
    </w:p>
    <w:p w14:paraId="01FFB325" w14:textId="405287EE" w:rsidR="001A1360" w:rsidRDefault="004B6FD1">
      <w:pPr>
        <w:jc w:val="both"/>
        <w:rPr>
          <w:rFonts w:ascii="Times New Roman" w:hAnsi="Times New Roman" w:cs="Times New Roman"/>
          <w:sz w:val="24"/>
          <w:szCs w:val="24"/>
        </w:rPr>
      </w:pPr>
      <w:r>
        <w:rPr>
          <w:rFonts w:ascii="Times New Roman" w:hAnsi="Times New Roman" w:cs="Times New Roman"/>
          <w:sz w:val="24"/>
          <w:szCs w:val="24"/>
        </w:rPr>
        <w:t xml:space="preserve">De plus, une </w:t>
      </w:r>
      <w:r w:rsidR="00F01050">
        <w:rPr>
          <w:rFonts w:ascii="Times New Roman" w:hAnsi="Times New Roman" w:cs="Times New Roman"/>
          <w:sz w:val="24"/>
          <w:szCs w:val="24"/>
        </w:rPr>
        <w:t>évolution</w:t>
      </w:r>
      <w:r w:rsidR="00F01050">
        <w:rPr>
          <w:rFonts w:ascii="Times New Roman" w:hAnsi="Times New Roman" w:cs="Times New Roman"/>
          <w:sz w:val="24"/>
          <w:szCs w:val="24"/>
        </w:rPr>
        <w:t xml:space="preserve"> </w:t>
      </w:r>
      <w:r>
        <w:rPr>
          <w:rFonts w:ascii="Times New Roman" w:hAnsi="Times New Roman" w:cs="Times New Roman"/>
          <w:sz w:val="24"/>
          <w:szCs w:val="24"/>
        </w:rPr>
        <w:t xml:space="preserve">nécessaire </w:t>
      </w:r>
      <w:r w:rsidR="00F01050">
        <w:rPr>
          <w:rFonts w:ascii="Times New Roman" w:hAnsi="Times New Roman" w:cs="Times New Roman"/>
          <w:sz w:val="24"/>
          <w:szCs w:val="24"/>
        </w:rPr>
        <w:t xml:space="preserve">a été identifiée </w:t>
      </w:r>
      <w:r>
        <w:rPr>
          <w:rFonts w:ascii="Times New Roman" w:hAnsi="Times New Roman" w:cs="Times New Roman"/>
          <w:sz w:val="24"/>
          <w:szCs w:val="24"/>
        </w:rPr>
        <w:t xml:space="preserve">avant l’échéance du contrat de concession afin de permettre la déclaration des opérations d’économies d’énergie dès leur engagement dans le but d’assurer un meilleur pilotage du dispositif CEE et de mieux lutter contre la fraude. </w:t>
      </w:r>
      <w:r w:rsidR="00F01050">
        <w:rPr>
          <w:rFonts w:ascii="Times New Roman" w:hAnsi="Times New Roman" w:cs="Times New Roman"/>
          <w:sz w:val="24"/>
          <w:szCs w:val="24"/>
        </w:rPr>
        <w:t xml:space="preserve">Elle permettra notamment de faciliter le dédoublonnage et d’éviter l’antidatage. </w:t>
      </w:r>
      <w:r>
        <w:rPr>
          <w:rFonts w:ascii="Times New Roman" w:hAnsi="Times New Roman" w:cs="Times New Roman"/>
          <w:sz w:val="24"/>
          <w:szCs w:val="24"/>
        </w:rPr>
        <w:t xml:space="preserve">Cette fonctionnalité n’avait pas été développée </w:t>
      </w:r>
      <w:r w:rsidR="00F01050">
        <w:rPr>
          <w:rFonts w:ascii="Times New Roman" w:hAnsi="Times New Roman" w:cs="Times New Roman"/>
          <w:sz w:val="24"/>
          <w:szCs w:val="24"/>
        </w:rPr>
        <w:t>dans la version actuelle du registre</w:t>
      </w:r>
      <w:r w:rsidR="00F01050">
        <w:rPr>
          <w:rFonts w:ascii="Times New Roman" w:hAnsi="Times New Roman" w:cs="Times New Roman"/>
          <w:sz w:val="24"/>
          <w:szCs w:val="24"/>
        </w:rPr>
        <w:t xml:space="preserve"> </w:t>
      </w:r>
      <w:r>
        <w:rPr>
          <w:rFonts w:ascii="Times New Roman" w:hAnsi="Times New Roman" w:cs="Times New Roman"/>
          <w:sz w:val="24"/>
          <w:szCs w:val="24"/>
        </w:rPr>
        <w:t>mais est nécessaire au regard de ces objectifs.</w:t>
      </w:r>
      <w:r w:rsidR="00F01050">
        <w:rPr>
          <w:rFonts w:ascii="Times New Roman" w:hAnsi="Times New Roman" w:cs="Times New Roman"/>
          <w:sz w:val="24"/>
          <w:szCs w:val="24"/>
        </w:rPr>
        <w:t xml:space="preserve"> Elle fait partie des évolutions relatives à la 6</w:t>
      </w:r>
      <w:r w:rsidR="00F01050" w:rsidRPr="0012310E">
        <w:rPr>
          <w:rFonts w:ascii="Times New Roman" w:hAnsi="Times New Roman" w:cs="Times New Roman"/>
          <w:sz w:val="24"/>
          <w:szCs w:val="24"/>
          <w:vertAlign w:val="superscript"/>
        </w:rPr>
        <w:t>ème</w:t>
      </w:r>
      <w:r w:rsidR="00F01050">
        <w:rPr>
          <w:rFonts w:ascii="Times New Roman" w:hAnsi="Times New Roman" w:cs="Times New Roman"/>
          <w:sz w:val="24"/>
          <w:szCs w:val="24"/>
        </w:rPr>
        <w:t xml:space="preserve"> période de CEE et sera intégrée aux travaux de refonte susmentionnés.</w:t>
      </w:r>
    </w:p>
    <w:p w14:paraId="49883DD3" w14:textId="19DF4289" w:rsidR="001A1360" w:rsidRDefault="004B6FD1">
      <w:pPr>
        <w:jc w:val="both"/>
        <w:rPr>
          <w:rFonts w:ascii="Times New Roman" w:hAnsi="Times New Roman" w:cs="Times New Roman"/>
          <w:sz w:val="24"/>
          <w:szCs w:val="24"/>
        </w:rPr>
      </w:pPr>
      <w:r>
        <w:rPr>
          <w:rFonts w:ascii="Times New Roman" w:hAnsi="Times New Roman" w:cs="Times New Roman"/>
          <w:sz w:val="24"/>
          <w:szCs w:val="24"/>
        </w:rPr>
        <w:t>Le présent arrêté vise à intégrer les coûts liés aux travaux de refonte</w:t>
      </w:r>
      <w:r w:rsidR="00F01050">
        <w:rPr>
          <w:rFonts w:ascii="Times New Roman" w:hAnsi="Times New Roman" w:cs="Times New Roman"/>
          <w:sz w:val="24"/>
          <w:szCs w:val="24"/>
        </w:rPr>
        <w:t xml:space="preserve"> </w:t>
      </w:r>
      <w:r w:rsidR="00F01050">
        <w:rPr>
          <w:rFonts w:ascii="Times New Roman" w:hAnsi="Times New Roman" w:cs="Times New Roman"/>
          <w:sz w:val="24"/>
          <w:szCs w:val="24"/>
        </w:rPr>
        <w:t>et divers</w:t>
      </w:r>
      <w:r w:rsidR="00F01050">
        <w:rPr>
          <w:rFonts w:ascii="Times New Roman" w:hAnsi="Times New Roman" w:cs="Times New Roman"/>
          <w:sz w:val="24"/>
          <w:szCs w:val="24"/>
        </w:rPr>
        <w:t>es dépenses</w:t>
      </w:r>
      <w:r w:rsidR="00F01050">
        <w:rPr>
          <w:rFonts w:ascii="Times New Roman" w:hAnsi="Times New Roman" w:cs="Times New Roman"/>
          <w:sz w:val="24"/>
          <w:szCs w:val="24"/>
        </w:rPr>
        <w:t xml:space="preserve"> associé</w:t>
      </w:r>
      <w:r w:rsidR="00F01050">
        <w:rPr>
          <w:rFonts w:ascii="Times New Roman" w:hAnsi="Times New Roman" w:cs="Times New Roman"/>
          <w:sz w:val="24"/>
          <w:szCs w:val="24"/>
        </w:rPr>
        <w:t>e</w:t>
      </w:r>
      <w:r w:rsidR="00F01050">
        <w:rPr>
          <w:rFonts w:ascii="Times New Roman" w:hAnsi="Times New Roman" w:cs="Times New Roman"/>
          <w:sz w:val="24"/>
          <w:szCs w:val="24"/>
        </w:rPr>
        <w:t>s à la sécurisation du registre, la consolidation de la procédure d’admission, la sollicitation croissante du support aux utilisateurs et l’effort de rattrapage du retard de développement</w:t>
      </w:r>
      <w:r>
        <w:rPr>
          <w:rFonts w:ascii="Times New Roman" w:hAnsi="Times New Roman" w:cs="Times New Roman"/>
          <w:sz w:val="24"/>
          <w:szCs w:val="24"/>
        </w:rPr>
        <w:t xml:space="preserve"> dans les frais de tenue des comptes du registre.</w:t>
      </w:r>
    </w:p>
    <w:p w14:paraId="0AB8A804" w14:textId="77777777" w:rsidR="001A1360" w:rsidRDefault="004B6FD1">
      <w:pPr>
        <w:jc w:val="both"/>
        <w:rPr>
          <w:rFonts w:ascii="Times New Roman" w:hAnsi="Times New Roman" w:cs="Times New Roman"/>
          <w:sz w:val="24"/>
          <w:szCs w:val="24"/>
        </w:rPr>
      </w:pPr>
      <w:r>
        <w:rPr>
          <w:rFonts w:ascii="Times New Roman" w:hAnsi="Times New Roman" w:cs="Times New Roman"/>
          <w:sz w:val="24"/>
          <w:szCs w:val="24"/>
        </w:rPr>
        <w:t>En parallèle du présent arrêté, la convention de délégation de service public de tenue du registre doit faire l’objet d’un avenant en cours de préparation pour intégrer les travaux susmentionnés.</w:t>
      </w:r>
    </w:p>
    <w:p w14:paraId="69125C32" w14:textId="77777777" w:rsidR="001A1360" w:rsidRDefault="004B6FD1">
      <w:pPr>
        <w:jc w:val="both"/>
        <w:rPr>
          <w:rFonts w:ascii="Times New Roman" w:hAnsi="Times New Roman" w:cs="Times New Roman"/>
          <w:b/>
          <w:sz w:val="24"/>
          <w:szCs w:val="24"/>
        </w:rPr>
      </w:pPr>
      <w:r>
        <w:rPr>
          <w:rFonts w:ascii="Times New Roman" w:hAnsi="Times New Roman" w:cs="Times New Roman"/>
          <w:b/>
          <w:sz w:val="24"/>
          <w:szCs w:val="24"/>
        </w:rPr>
        <w:t>Evolution des tarifs du registre</w:t>
      </w:r>
    </w:p>
    <w:p w14:paraId="0067D398" w14:textId="77777777" w:rsidR="001A1360" w:rsidRDefault="004B6FD1">
      <w:pPr>
        <w:jc w:val="both"/>
        <w:rPr>
          <w:rFonts w:ascii="Times New Roman" w:hAnsi="Times New Roman" w:cs="Times New Roman"/>
          <w:sz w:val="24"/>
          <w:szCs w:val="24"/>
        </w:rPr>
      </w:pPr>
      <w:r>
        <w:rPr>
          <w:rFonts w:ascii="Times New Roman" w:hAnsi="Times New Roman" w:cs="Times New Roman"/>
          <w:sz w:val="24"/>
          <w:szCs w:val="24"/>
        </w:rPr>
        <w:t>Pour couvrir les coûts liés aux travaux de refonte et autres frais précités, le projet d’arrêté prévoit l’évolution suivante des tarifs du registre :</w:t>
      </w:r>
    </w:p>
    <w:p w14:paraId="2A2D1123" w14:textId="77777777" w:rsidR="001A1360" w:rsidRDefault="004B6FD1">
      <w:pPr>
        <w:jc w:val="both"/>
        <w:rPr>
          <w:rFonts w:ascii="Times New Roman" w:hAnsi="Times New Roman" w:cs="Times New Roman"/>
          <w:sz w:val="24"/>
          <w:szCs w:val="24"/>
        </w:rPr>
      </w:pPr>
      <w:r>
        <w:rPr>
          <w:rFonts w:ascii="Times New Roman" w:hAnsi="Times New Roman" w:cs="Times New Roman"/>
          <w:sz w:val="24"/>
          <w:szCs w:val="24"/>
        </w:rPr>
        <w:t>a) Le maintien du tarif d'ouverture de compte de 150 € (cf. article 2 du projet d’arrêté) ;</w:t>
      </w:r>
    </w:p>
    <w:p w14:paraId="1DF737EC" w14:textId="77777777" w:rsidR="001A1360" w:rsidRDefault="004B6FD1">
      <w:pPr>
        <w:jc w:val="both"/>
        <w:rPr>
          <w:rFonts w:ascii="Times New Roman" w:hAnsi="Times New Roman" w:cs="Times New Roman"/>
          <w:sz w:val="24"/>
          <w:szCs w:val="24"/>
        </w:rPr>
      </w:pPr>
      <w:r>
        <w:rPr>
          <w:rFonts w:ascii="Times New Roman" w:hAnsi="Times New Roman" w:cs="Times New Roman"/>
          <w:sz w:val="24"/>
          <w:szCs w:val="24"/>
        </w:rPr>
        <w:lastRenderedPageBreak/>
        <w:t>b) Le maintien du tarif de gestion de compte de 150 € pour chaque année civile entamée suivant l'année d'ouverture de compte (cf. article 3) ;</w:t>
      </w:r>
    </w:p>
    <w:p w14:paraId="3029102F" w14:textId="77777777" w:rsidR="001A1360" w:rsidRDefault="004B6FD1">
      <w:pPr>
        <w:jc w:val="both"/>
        <w:rPr>
          <w:rFonts w:ascii="Times New Roman" w:hAnsi="Times New Roman" w:cs="Times New Roman"/>
          <w:sz w:val="24"/>
          <w:szCs w:val="24"/>
        </w:rPr>
      </w:pPr>
      <w:r>
        <w:rPr>
          <w:rFonts w:ascii="Times New Roman" w:hAnsi="Times New Roman" w:cs="Times New Roman"/>
          <w:sz w:val="24"/>
          <w:szCs w:val="24"/>
        </w:rPr>
        <w:t>c) Des tarifs d’enregistrement des CEE passant de 2,20 à 2,30 €/</w:t>
      </w:r>
      <w:proofErr w:type="spellStart"/>
      <w:r>
        <w:rPr>
          <w:rFonts w:ascii="Times New Roman" w:hAnsi="Times New Roman" w:cs="Times New Roman"/>
          <w:sz w:val="24"/>
          <w:szCs w:val="24"/>
        </w:rPr>
        <w:t>GWhc</w:t>
      </w:r>
      <w:proofErr w:type="spellEnd"/>
      <w:r>
        <w:rPr>
          <w:rFonts w:ascii="Times New Roman" w:hAnsi="Times New Roman" w:cs="Times New Roman"/>
          <w:sz w:val="24"/>
          <w:szCs w:val="24"/>
        </w:rPr>
        <w:t xml:space="preserve"> (cf. article 4) ;</w:t>
      </w:r>
    </w:p>
    <w:p w14:paraId="325E9E70" w14:textId="77777777" w:rsidR="001A1360" w:rsidRDefault="004B6FD1">
      <w:pPr>
        <w:jc w:val="both"/>
        <w:rPr>
          <w:rFonts w:ascii="Times New Roman" w:hAnsi="Times New Roman" w:cs="Times New Roman"/>
          <w:sz w:val="24"/>
          <w:szCs w:val="24"/>
        </w:rPr>
      </w:pPr>
      <w:r>
        <w:rPr>
          <w:rFonts w:ascii="Times New Roman" w:hAnsi="Times New Roman" w:cs="Times New Roman"/>
          <w:sz w:val="24"/>
          <w:szCs w:val="24"/>
        </w:rPr>
        <w:t>c) Des tarifs de transfert des CEE passant de 2,80 à 4,10 €/</w:t>
      </w:r>
      <w:proofErr w:type="spellStart"/>
      <w:r>
        <w:rPr>
          <w:rFonts w:ascii="Times New Roman" w:hAnsi="Times New Roman" w:cs="Times New Roman"/>
          <w:sz w:val="24"/>
          <w:szCs w:val="24"/>
        </w:rPr>
        <w:t>GWhc</w:t>
      </w:r>
      <w:proofErr w:type="spellEnd"/>
      <w:r>
        <w:rPr>
          <w:rFonts w:ascii="Times New Roman" w:hAnsi="Times New Roman" w:cs="Times New Roman"/>
          <w:sz w:val="24"/>
          <w:szCs w:val="24"/>
        </w:rPr>
        <w:t xml:space="preserve"> (cf. article 5).</w:t>
      </w:r>
    </w:p>
    <w:p w14:paraId="72F0ED7A" w14:textId="77777777" w:rsidR="004B6FD1" w:rsidRDefault="004B6FD1">
      <w:pPr>
        <w:jc w:val="both"/>
        <w:rPr>
          <w:rFonts w:ascii="Times New Roman" w:hAnsi="Times New Roman" w:cs="Times New Roman"/>
          <w:sz w:val="24"/>
          <w:szCs w:val="24"/>
        </w:rPr>
      </w:pPr>
    </w:p>
    <w:p w14:paraId="1FD34367" w14:textId="57F062FE" w:rsidR="004B6FD1" w:rsidRPr="0012310E" w:rsidRDefault="004B6FD1">
      <w:pPr>
        <w:jc w:val="both"/>
      </w:pPr>
      <w:r>
        <w:rPr>
          <w:rFonts w:ascii="Times New Roman" w:hAnsi="Times New Roman" w:cs="Times New Roman"/>
          <w:sz w:val="24"/>
          <w:szCs w:val="24"/>
        </w:rPr>
        <w:t xml:space="preserve">A titre de comparaison, le prix moyen pondéré des échanges sur la plateforme EMMY était </w:t>
      </w:r>
      <w:r w:rsidR="000903E8" w:rsidRPr="008E7826">
        <w:rPr>
          <w:rFonts w:ascii="Times New Roman" w:hAnsi="Times New Roman" w:cs="Times New Roman"/>
          <w:sz w:val="24"/>
          <w:szCs w:val="24"/>
        </w:rPr>
        <w:t>en mars 2026</w:t>
      </w:r>
      <w:r w:rsidR="000903E8">
        <w:rPr>
          <w:rFonts w:ascii="Times New Roman" w:hAnsi="Times New Roman" w:cs="Times New Roman"/>
          <w:sz w:val="24"/>
          <w:szCs w:val="24"/>
        </w:rPr>
        <w:t xml:space="preserve"> </w:t>
      </w:r>
      <w:r>
        <w:rPr>
          <w:rFonts w:ascii="Times New Roman" w:hAnsi="Times New Roman" w:cs="Times New Roman"/>
          <w:sz w:val="24"/>
          <w:szCs w:val="24"/>
        </w:rPr>
        <w:t>de 8,49 €/</w:t>
      </w:r>
      <w:proofErr w:type="spellStart"/>
      <w:r>
        <w:rPr>
          <w:rFonts w:ascii="Times New Roman" w:hAnsi="Times New Roman" w:cs="Times New Roman"/>
          <w:sz w:val="24"/>
          <w:szCs w:val="24"/>
        </w:rPr>
        <w:t>MWhc</w:t>
      </w:r>
      <w:proofErr w:type="spellEnd"/>
      <w:r>
        <w:rPr>
          <w:rFonts w:ascii="Times New Roman" w:hAnsi="Times New Roman" w:cs="Times New Roman"/>
          <w:sz w:val="24"/>
          <w:szCs w:val="24"/>
        </w:rPr>
        <w:t xml:space="preserve"> pour les CEE Classiques et de 12,03 €/</w:t>
      </w:r>
      <w:proofErr w:type="spellStart"/>
      <w:r>
        <w:rPr>
          <w:rFonts w:ascii="Times New Roman" w:hAnsi="Times New Roman" w:cs="Times New Roman"/>
          <w:sz w:val="24"/>
          <w:szCs w:val="24"/>
        </w:rPr>
        <w:t>MWhc</w:t>
      </w:r>
      <w:proofErr w:type="spellEnd"/>
      <w:r>
        <w:rPr>
          <w:rFonts w:ascii="Times New Roman" w:hAnsi="Times New Roman" w:cs="Times New Roman"/>
          <w:sz w:val="24"/>
          <w:szCs w:val="24"/>
        </w:rPr>
        <w:t xml:space="preserve"> pour les CEE </w:t>
      </w:r>
      <w:r w:rsidR="000903E8">
        <w:rPr>
          <w:rFonts w:ascii="Times New Roman" w:hAnsi="Times New Roman" w:cs="Times New Roman"/>
          <w:sz w:val="24"/>
          <w:szCs w:val="24"/>
        </w:rPr>
        <w:t>P</w:t>
      </w:r>
      <w:r>
        <w:rPr>
          <w:rFonts w:ascii="Times New Roman" w:hAnsi="Times New Roman" w:cs="Times New Roman"/>
          <w:sz w:val="24"/>
          <w:szCs w:val="24"/>
        </w:rPr>
        <w:t>récarité. Le tarif de transfert ci-dessus représente donc respectivement 0,05% et 0,034% du prix des CEE échangés sur la plateforme à cette date.</w:t>
      </w:r>
    </w:p>
    <w:p w14:paraId="06CD976B" w14:textId="77777777" w:rsidR="001A1360" w:rsidRDefault="001A1360">
      <w:pPr>
        <w:jc w:val="both"/>
        <w:rPr>
          <w:rFonts w:ascii="Times New Roman" w:hAnsi="Times New Roman" w:cs="Times New Roman"/>
          <w:sz w:val="24"/>
          <w:szCs w:val="24"/>
        </w:rPr>
      </w:pPr>
    </w:p>
    <w:sectPr w:rsidR="001A1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60"/>
    <w:rsid w:val="000903E8"/>
    <w:rsid w:val="0012310E"/>
    <w:rsid w:val="001A1360"/>
    <w:rsid w:val="004B6FD1"/>
    <w:rsid w:val="00A15431"/>
    <w:rsid w:val="00F01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4B9A"/>
  <w15:chartTrackingRefBased/>
  <w15:docId w15:val="{80BEC85D-7A85-46F4-9C4B-9B94ED81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3084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GOISLOT Damien</dc:creator>
  <cp:keywords/>
  <dc:description/>
  <cp:lastModifiedBy>Coralie Ruffenach</cp:lastModifiedBy>
  <cp:revision>2</cp:revision>
  <dcterms:created xsi:type="dcterms:W3CDTF">2026-04-17T12:57:00Z</dcterms:created>
  <dcterms:modified xsi:type="dcterms:W3CDTF">2026-04-17T12:57:00Z</dcterms:modified>
</cp:coreProperties>
</file>