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AB4D" w14:textId="77777777" w:rsidR="00F040C1" w:rsidRDefault="00F040C1">
      <w:pPr>
        <w:pStyle w:val="Corpsdetexte"/>
        <w:spacing w:after="0"/>
        <w:ind w:left="-11" w:firstLine="11"/>
        <w:jc w:val="center"/>
        <w:rPr>
          <w:b/>
          <w:bCs/>
          <w:color w:val="000000"/>
          <w:sz w:val="28"/>
          <w:szCs w:val="28"/>
        </w:rPr>
      </w:pPr>
      <w:r>
        <w:rPr>
          <w:b/>
          <w:bCs/>
          <w:color w:val="000000"/>
          <w:sz w:val="28"/>
          <w:szCs w:val="28"/>
        </w:rPr>
        <w:t>RAPPORT DE PRESENTATION AU CSE</w:t>
      </w:r>
    </w:p>
    <w:p w14:paraId="19846D9C" w14:textId="77777777" w:rsidR="00F040C1" w:rsidRDefault="00F040C1">
      <w:pPr>
        <w:pStyle w:val="Corpsdetexte"/>
        <w:spacing w:after="0"/>
        <w:ind w:left="-11" w:firstLine="11"/>
        <w:jc w:val="center"/>
        <w:rPr>
          <w:b/>
          <w:bCs/>
          <w:color w:val="000000"/>
          <w:sz w:val="20"/>
          <w:szCs w:val="20"/>
        </w:rPr>
      </w:pPr>
    </w:p>
    <w:p w14:paraId="086DBBD6" w14:textId="77777777" w:rsidR="00F040C1" w:rsidRDefault="00F040C1">
      <w:pPr>
        <w:pStyle w:val="Corpsdetexte"/>
        <w:spacing w:after="0"/>
        <w:ind w:left="-11" w:firstLine="11"/>
        <w:jc w:val="center"/>
        <w:rPr>
          <w:b/>
          <w:sz w:val="26"/>
          <w:szCs w:val="26"/>
        </w:rPr>
      </w:pPr>
      <w:r>
        <w:rPr>
          <w:b/>
          <w:sz w:val="26"/>
          <w:szCs w:val="26"/>
        </w:rPr>
        <w:t xml:space="preserve">du projet d’arrêté </w:t>
      </w:r>
      <w:r w:rsidR="00742E2E" w:rsidRPr="00742E2E">
        <w:rPr>
          <w:b/>
          <w:sz w:val="26"/>
          <w:szCs w:val="26"/>
        </w:rPr>
        <w:t>modifiant l’arrêté du 22 décembre 2014 définissant les opérations standardisées d’économies d’énergie et l’arrêté du 29 décembre 2014 relatif aux modalités d'application du dispositif des certificats d'économies d'énergie</w:t>
      </w:r>
    </w:p>
    <w:p w14:paraId="74CBC320" w14:textId="77777777" w:rsidR="000C004F" w:rsidRDefault="000C004F">
      <w:pPr>
        <w:pStyle w:val="Corpsdetexte"/>
        <w:spacing w:after="0"/>
        <w:ind w:left="-11" w:firstLine="11"/>
        <w:jc w:val="center"/>
        <w:rPr>
          <w:b/>
          <w:bCs/>
          <w:color w:val="000000"/>
          <w:sz w:val="26"/>
          <w:szCs w:val="26"/>
          <w:u w:val="single"/>
        </w:rPr>
      </w:pPr>
    </w:p>
    <w:p w14:paraId="4809A048" w14:textId="77777777" w:rsidR="00F040C1" w:rsidRDefault="00F040C1">
      <w:pPr>
        <w:spacing w:before="120" w:after="120"/>
        <w:jc w:val="center"/>
        <w:rPr>
          <w:i/>
          <w:sz w:val="22"/>
          <w:szCs w:val="22"/>
        </w:rPr>
      </w:pPr>
      <w:r>
        <w:rPr>
          <w:i/>
          <w:sz w:val="22"/>
          <w:szCs w:val="22"/>
        </w:rPr>
        <w:t>****</w:t>
      </w:r>
    </w:p>
    <w:p w14:paraId="3456B529" w14:textId="77777777" w:rsidR="000C004F" w:rsidRDefault="000C004F">
      <w:pPr>
        <w:pStyle w:val="NormalWeb"/>
        <w:spacing w:before="0" w:after="0"/>
        <w:ind w:left="-11" w:firstLine="11"/>
        <w:jc w:val="both"/>
        <w:rPr>
          <w:rFonts w:ascii="Times New Roman" w:hAnsi="Times New Roman" w:cs="Times New Roman"/>
          <w:color w:val="000000"/>
          <w:sz w:val="22"/>
          <w:szCs w:val="22"/>
        </w:rPr>
      </w:pPr>
    </w:p>
    <w:p w14:paraId="7D70B8E9" w14:textId="4B3E97C9" w:rsidR="003F67A7" w:rsidRDefault="00BA21A4" w:rsidP="00402566">
      <w:pPr>
        <w:pStyle w:val="NormalWeb"/>
        <w:spacing w:before="0" w:after="0"/>
        <w:ind w:firstLine="11"/>
        <w:jc w:val="both"/>
        <w:rPr>
          <w:rFonts w:ascii="Times New Roman" w:hAnsi="Times New Roman" w:cs="Times New Roman"/>
          <w:color w:val="000000"/>
          <w:sz w:val="22"/>
          <w:szCs w:val="22"/>
        </w:rPr>
      </w:pPr>
      <w:r>
        <w:rPr>
          <w:rFonts w:ascii="Times New Roman" w:hAnsi="Times New Roman" w:cs="Times New Roman"/>
          <w:color w:val="000000"/>
          <w:sz w:val="22"/>
          <w:szCs w:val="22"/>
        </w:rPr>
        <w:t>Le présent texte concerne le dispositif des certificats d’économies d’énergie (CEE) régi par les articles L. 221-1 et suivants du code de l’énergie.</w:t>
      </w:r>
      <w:r w:rsidR="00A63398">
        <w:rPr>
          <w:rFonts w:ascii="Times New Roman" w:hAnsi="Times New Roman" w:cs="Times New Roman"/>
          <w:color w:val="000000"/>
          <w:sz w:val="22"/>
          <w:szCs w:val="22"/>
        </w:rPr>
        <w:t xml:space="preserve"> Il modifie l’arrêté </w:t>
      </w:r>
      <w:r w:rsidR="00A63398" w:rsidRPr="00A63398">
        <w:rPr>
          <w:rFonts w:ascii="Times New Roman" w:hAnsi="Times New Roman" w:cs="Times New Roman"/>
          <w:color w:val="000000"/>
          <w:sz w:val="22"/>
          <w:szCs w:val="22"/>
        </w:rPr>
        <w:t>du 22 décembre 2014 définissant les opérations standardisées d’économies d’énergie</w:t>
      </w:r>
      <w:r w:rsidR="00A63398">
        <w:rPr>
          <w:rFonts w:ascii="Times New Roman" w:hAnsi="Times New Roman" w:cs="Times New Roman"/>
          <w:color w:val="000000"/>
          <w:sz w:val="22"/>
          <w:szCs w:val="22"/>
        </w:rPr>
        <w:t>.</w:t>
      </w:r>
    </w:p>
    <w:p w14:paraId="6872CCBC" w14:textId="77777777" w:rsidR="009F1E0C" w:rsidRDefault="009F1E0C" w:rsidP="00402566">
      <w:pPr>
        <w:pStyle w:val="NormalWeb"/>
        <w:spacing w:before="0" w:after="0"/>
        <w:ind w:firstLine="11"/>
        <w:jc w:val="both"/>
        <w:rPr>
          <w:rFonts w:ascii="Times New Roman" w:hAnsi="Times New Roman" w:cs="Times New Roman"/>
          <w:color w:val="000000"/>
          <w:sz w:val="22"/>
          <w:szCs w:val="22"/>
        </w:rPr>
      </w:pPr>
    </w:p>
    <w:p w14:paraId="17253F83" w14:textId="60F3605B" w:rsidR="00C12F2C" w:rsidRDefault="00090149" w:rsidP="00840759">
      <w:pPr>
        <w:jc w:val="both"/>
        <w:rPr>
          <w:color w:val="000000"/>
          <w:sz w:val="22"/>
          <w:szCs w:val="22"/>
        </w:rPr>
      </w:pPr>
      <w:r>
        <w:rPr>
          <w:color w:val="000000"/>
          <w:sz w:val="22"/>
          <w:szCs w:val="22"/>
        </w:rPr>
        <w:t>1</w:t>
      </w:r>
      <w:r w:rsidR="00AF0B19">
        <w:rPr>
          <w:color w:val="000000"/>
          <w:sz w:val="22"/>
          <w:szCs w:val="22"/>
        </w:rPr>
        <w:t>4</w:t>
      </w:r>
      <w:r>
        <w:rPr>
          <w:color w:val="000000"/>
          <w:sz w:val="22"/>
          <w:szCs w:val="22"/>
        </w:rPr>
        <w:t xml:space="preserve"> fiches d’opérations standardisées sont révisées, 4 fiches sont supprimées et </w:t>
      </w:r>
      <w:r w:rsidR="0026276C">
        <w:rPr>
          <w:color w:val="000000"/>
          <w:sz w:val="22"/>
          <w:szCs w:val="22"/>
        </w:rPr>
        <w:t xml:space="preserve">7 </w:t>
      </w:r>
      <w:r>
        <w:rPr>
          <w:color w:val="000000"/>
          <w:sz w:val="22"/>
          <w:szCs w:val="22"/>
        </w:rPr>
        <w:t>fiches sont créées.</w:t>
      </w:r>
    </w:p>
    <w:p w14:paraId="559CE437" w14:textId="6D71B989" w:rsidR="00ED149E" w:rsidRDefault="00ED149E" w:rsidP="00840759">
      <w:pPr>
        <w:jc w:val="both"/>
        <w:rPr>
          <w:color w:val="000000"/>
          <w:sz w:val="22"/>
          <w:szCs w:val="22"/>
        </w:rPr>
      </w:pPr>
    </w:p>
    <w:p w14:paraId="3EE7B40E" w14:textId="3A2BD5FE" w:rsidR="00ED149E" w:rsidRDefault="00ED149E" w:rsidP="00840759">
      <w:pPr>
        <w:jc w:val="both"/>
        <w:rPr>
          <w:color w:val="000000"/>
          <w:sz w:val="22"/>
          <w:szCs w:val="22"/>
        </w:rPr>
      </w:pPr>
      <w:r>
        <w:rPr>
          <w:color w:val="000000"/>
          <w:sz w:val="22"/>
          <w:szCs w:val="22"/>
        </w:rPr>
        <w:t xml:space="preserve">Le forfait de CEE des fiches d’opérations standardisées est exprimé en « énergie finale intégrale », c’est-à-dire </w:t>
      </w:r>
      <w:r w:rsidR="00C90E77">
        <w:rPr>
          <w:color w:val="000000"/>
          <w:sz w:val="22"/>
          <w:szCs w:val="22"/>
        </w:rPr>
        <w:t>que l’économie d’énergie finale est égale à la différence entre la consommation d’énergie finale de la situation de référence et celle de la situation après réalisation de l’opération, y compris dans le cas où le type d’énergie finale de la situation de référence est différent du type d’énergie finale de la situation après réalisation de l’opération</w:t>
      </w:r>
      <w:r w:rsidR="008848FE">
        <w:rPr>
          <w:rStyle w:val="Appelnotedebasdep"/>
          <w:color w:val="000000"/>
          <w:sz w:val="22"/>
          <w:szCs w:val="22"/>
        </w:rPr>
        <w:footnoteReference w:id="1"/>
      </w:r>
      <w:r w:rsidR="00C90E77">
        <w:rPr>
          <w:color w:val="000000"/>
          <w:sz w:val="22"/>
          <w:szCs w:val="22"/>
        </w:rPr>
        <w:t>.</w:t>
      </w:r>
      <w:r w:rsidR="008848FE">
        <w:rPr>
          <w:color w:val="000000"/>
          <w:sz w:val="22"/>
          <w:szCs w:val="22"/>
        </w:rPr>
        <w:t xml:space="preserve"> Ce type de calcul sera désormais appliqué à toutes les fiches révisées ou créées.</w:t>
      </w:r>
    </w:p>
    <w:p w14:paraId="7AEC5859" w14:textId="5A27F71B" w:rsidR="00090149" w:rsidRDefault="00090149" w:rsidP="00840759">
      <w:pPr>
        <w:jc w:val="both"/>
        <w:rPr>
          <w:color w:val="000000"/>
          <w:sz w:val="22"/>
          <w:szCs w:val="22"/>
        </w:rPr>
      </w:pPr>
    </w:p>
    <w:p w14:paraId="192F6C27" w14:textId="173EA70E" w:rsidR="00545A8D" w:rsidRDefault="00545A8D" w:rsidP="00840759">
      <w:pPr>
        <w:jc w:val="both"/>
        <w:rPr>
          <w:color w:val="000000"/>
          <w:sz w:val="22"/>
          <w:szCs w:val="22"/>
        </w:rPr>
      </w:pPr>
      <w:r>
        <w:rPr>
          <w:color w:val="000000"/>
          <w:sz w:val="22"/>
          <w:szCs w:val="22"/>
        </w:rPr>
        <w:t>Les fiches révisées sont applicables aux opérations engagées à compter du 1</w:t>
      </w:r>
      <w:r w:rsidRPr="00545A8D">
        <w:rPr>
          <w:color w:val="000000"/>
          <w:sz w:val="22"/>
          <w:szCs w:val="22"/>
          <w:vertAlign w:val="superscript"/>
        </w:rPr>
        <w:t>er</w:t>
      </w:r>
      <w:r>
        <w:rPr>
          <w:color w:val="000000"/>
          <w:sz w:val="22"/>
          <w:szCs w:val="22"/>
        </w:rPr>
        <w:t xml:space="preserve"> avril 2025, à l’exception des</w:t>
      </w:r>
      <w:r w:rsidR="00CA357D">
        <w:rPr>
          <w:color w:val="000000"/>
          <w:sz w:val="22"/>
          <w:szCs w:val="22"/>
        </w:rPr>
        <w:t xml:space="preserve"> </w:t>
      </w:r>
      <w:r>
        <w:rPr>
          <w:color w:val="000000"/>
          <w:sz w:val="22"/>
          <w:szCs w:val="22"/>
        </w:rPr>
        <w:t>fiches suivantes </w:t>
      </w:r>
      <w:r w:rsidR="00F23C07">
        <w:rPr>
          <w:color w:val="000000"/>
          <w:sz w:val="22"/>
          <w:szCs w:val="22"/>
        </w:rPr>
        <w:t xml:space="preserve">qui sont applicables aux opérations engagées dès le lendemain de la publication de l’arrêté </w:t>
      </w:r>
      <w:r>
        <w:rPr>
          <w:color w:val="000000"/>
          <w:sz w:val="22"/>
          <w:szCs w:val="22"/>
        </w:rPr>
        <w:t>:</w:t>
      </w:r>
    </w:p>
    <w:p w14:paraId="4A3FA60B" w14:textId="62B92548" w:rsidR="00090149" w:rsidRPr="00F23C07" w:rsidRDefault="00545A8D" w:rsidP="00F23C07">
      <w:pPr>
        <w:pStyle w:val="Paragraphedeliste"/>
        <w:numPr>
          <w:ilvl w:val="0"/>
          <w:numId w:val="10"/>
        </w:numPr>
        <w:jc w:val="both"/>
        <w:rPr>
          <w:color w:val="000000"/>
          <w:sz w:val="22"/>
          <w:szCs w:val="22"/>
        </w:rPr>
      </w:pPr>
      <w:r w:rsidRPr="00F23C07">
        <w:rPr>
          <w:color w:val="000000"/>
          <w:sz w:val="22"/>
          <w:szCs w:val="22"/>
        </w:rPr>
        <w:t>Fiche IND-UT-137 « Mise en place d’un système de pompe(s) à chaleur en rehausse de température de chaleur fatale récupérée » : cette fiche est révisée pour exprimer le forfait de CEE en « énergie finale intégrale » ;</w:t>
      </w:r>
    </w:p>
    <w:p w14:paraId="0CD3A437" w14:textId="07F3CBAA" w:rsidR="00545A8D" w:rsidRPr="00F23C07" w:rsidRDefault="00545A8D" w:rsidP="00F23C07">
      <w:pPr>
        <w:pStyle w:val="Paragraphedeliste"/>
        <w:numPr>
          <w:ilvl w:val="0"/>
          <w:numId w:val="10"/>
        </w:numPr>
        <w:jc w:val="both"/>
        <w:rPr>
          <w:color w:val="000000"/>
          <w:sz w:val="22"/>
          <w:szCs w:val="22"/>
        </w:rPr>
      </w:pPr>
      <w:r w:rsidRPr="00F23C07">
        <w:rPr>
          <w:color w:val="000000"/>
          <w:sz w:val="22"/>
          <w:szCs w:val="22"/>
        </w:rPr>
        <w:t>Fiches TRA-EQ-114 « Achat ou location d’un véhicule léger ou véhicule utilitaire léger électrique neuf ou opération de rétrofit électrique d’un véhicule léger ou véhicule utilitaire léger, par une collectivité locale ou une autre personne morale » et TRA-EQ-117 « Achat ou location d’un véhicule léger ou véhicule utilitaire léger électrique neuf ou opération de rétrofit électrique d’un véhicule léger ou véhicule utilitaire léger, par des particuliers » : la révision de ces fiches rend éligibles les seuls véhicules électriques ;</w:t>
      </w:r>
    </w:p>
    <w:p w14:paraId="40374628" w14:textId="49F21DDE" w:rsidR="00545A8D" w:rsidRPr="00F23C07" w:rsidRDefault="00545A8D" w:rsidP="00F23C07">
      <w:pPr>
        <w:pStyle w:val="Paragraphedeliste"/>
        <w:numPr>
          <w:ilvl w:val="0"/>
          <w:numId w:val="10"/>
        </w:numPr>
        <w:jc w:val="both"/>
        <w:rPr>
          <w:color w:val="000000"/>
          <w:sz w:val="22"/>
          <w:szCs w:val="22"/>
        </w:rPr>
      </w:pPr>
      <w:r w:rsidRPr="00F23C07">
        <w:rPr>
          <w:color w:val="000000"/>
          <w:sz w:val="22"/>
          <w:szCs w:val="22"/>
        </w:rPr>
        <w:t>Fiche TRA-EQ-128 : cette fiche est révisée pour exprimer le forfait de CEE en « énergie finale intégrale »</w:t>
      </w:r>
      <w:r w:rsidR="002B2A2D" w:rsidRPr="00F23C07">
        <w:rPr>
          <w:color w:val="000000"/>
          <w:sz w:val="22"/>
          <w:szCs w:val="22"/>
        </w:rPr>
        <w:t> ;</w:t>
      </w:r>
    </w:p>
    <w:p w14:paraId="7971289A" w14:textId="08E5F4FE" w:rsidR="002B2A2D" w:rsidRPr="00F23C07" w:rsidRDefault="002B2A2D" w:rsidP="00F23C07">
      <w:pPr>
        <w:pStyle w:val="Paragraphedeliste"/>
        <w:numPr>
          <w:ilvl w:val="0"/>
          <w:numId w:val="10"/>
        </w:numPr>
        <w:jc w:val="both"/>
        <w:rPr>
          <w:color w:val="000000"/>
          <w:sz w:val="22"/>
          <w:szCs w:val="22"/>
        </w:rPr>
      </w:pPr>
      <w:r w:rsidRPr="00F23C07">
        <w:rPr>
          <w:color w:val="000000"/>
          <w:sz w:val="22"/>
          <w:szCs w:val="22"/>
        </w:rPr>
        <w:t>Fiche TRA-SE-116 : cette fiche est révisée pour exprimer le forfait de CEE en « énergie finale intégrale ».</w:t>
      </w:r>
    </w:p>
    <w:p w14:paraId="557CD260" w14:textId="4D057C57" w:rsidR="00545A8D" w:rsidRDefault="00545A8D" w:rsidP="00840759">
      <w:pPr>
        <w:jc w:val="both"/>
        <w:rPr>
          <w:color w:val="000000"/>
          <w:sz w:val="22"/>
          <w:szCs w:val="22"/>
        </w:rPr>
      </w:pPr>
    </w:p>
    <w:p w14:paraId="667FF271" w14:textId="48BE3463" w:rsidR="00545A8D" w:rsidRDefault="008848FE" w:rsidP="00840759">
      <w:pPr>
        <w:jc w:val="both"/>
        <w:rPr>
          <w:color w:val="000000"/>
          <w:sz w:val="22"/>
          <w:szCs w:val="22"/>
        </w:rPr>
      </w:pPr>
      <w:r>
        <w:rPr>
          <w:color w:val="000000"/>
          <w:sz w:val="22"/>
          <w:szCs w:val="22"/>
        </w:rPr>
        <w:t>Les fiches créées sont applicables aux opérations engagées dès le lendemain de la publication de l’arrêté.</w:t>
      </w:r>
    </w:p>
    <w:p w14:paraId="43EC8FD6" w14:textId="492B82FC" w:rsidR="00F64DFC" w:rsidRDefault="00F64DFC" w:rsidP="00840759">
      <w:pPr>
        <w:jc w:val="both"/>
        <w:rPr>
          <w:color w:val="000000"/>
          <w:sz w:val="22"/>
          <w:szCs w:val="22"/>
        </w:rPr>
      </w:pPr>
    </w:p>
    <w:p w14:paraId="254CE819" w14:textId="7FAF0378" w:rsidR="00F64DFC" w:rsidRDefault="00F64DFC" w:rsidP="00840759">
      <w:pPr>
        <w:jc w:val="both"/>
        <w:rPr>
          <w:color w:val="000000"/>
          <w:sz w:val="22"/>
          <w:szCs w:val="22"/>
        </w:rPr>
      </w:pPr>
      <w:r>
        <w:rPr>
          <w:color w:val="000000"/>
          <w:sz w:val="22"/>
          <w:szCs w:val="22"/>
        </w:rPr>
        <w:t>Les fiches</w:t>
      </w:r>
      <w:r w:rsidR="004440F0">
        <w:rPr>
          <w:color w:val="000000"/>
          <w:sz w:val="22"/>
          <w:szCs w:val="22"/>
        </w:rPr>
        <w:t xml:space="preserve"> sont</w:t>
      </w:r>
      <w:r>
        <w:rPr>
          <w:color w:val="000000"/>
          <w:sz w:val="22"/>
          <w:szCs w:val="22"/>
        </w:rPr>
        <w:t xml:space="preserve"> supprimées dès le lendemain de la publication de l’arrêté.</w:t>
      </w:r>
    </w:p>
    <w:p w14:paraId="0B0237B2" w14:textId="77777777" w:rsidR="00742E2E" w:rsidRDefault="00742E2E" w:rsidP="00840759">
      <w:pPr>
        <w:jc w:val="both"/>
        <w:rPr>
          <w:color w:val="000000"/>
          <w:sz w:val="22"/>
          <w:szCs w:val="22"/>
        </w:rPr>
      </w:pPr>
    </w:p>
    <w:p w14:paraId="6F1F567E" w14:textId="083DE541" w:rsidR="00F040C1" w:rsidRDefault="00057E29" w:rsidP="00840759">
      <w:pPr>
        <w:jc w:val="both"/>
        <w:rPr>
          <w:color w:val="000000"/>
          <w:sz w:val="22"/>
          <w:szCs w:val="22"/>
        </w:rPr>
      </w:pPr>
      <w:r>
        <w:rPr>
          <w:color w:val="000000"/>
          <w:sz w:val="22"/>
          <w:szCs w:val="22"/>
        </w:rPr>
        <w:t>Après c</w:t>
      </w:r>
      <w:r w:rsidR="00803E2D">
        <w:rPr>
          <w:color w:val="000000"/>
          <w:sz w:val="22"/>
          <w:szCs w:val="22"/>
        </w:rPr>
        <w:t>es modifications</w:t>
      </w:r>
      <w:r w:rsidR="00351E71">
        <w:rPr>
          <w:color w:val="000000"/>
          <w:sz w:val="22"/>
          <w:szCs w:val="22"/>
        </w:rPr>
        <w:t xml:space="preserve"> dont le détail est décrit en annexe</w:t>
      </w:r>
      <w:r w:rsidR="00803E2D">
        <w:rPr>
          <w:color w:val="000000"/>
          <w:sz w:val="22"/>
          <w:szCs w:val="22"/>
        </w:rPr>
        <w:t>, l</w:t>
      </w:r>
      <w:r w:rsidR="00F040C1">
        <w:rPr>
          <w:color w:val="000000"/>
          <w:sz w:val="22"/>
          <w:szCs w:val="22"/>
        </w:rPr>
        <w:t xml:space="preserve">e catalogue comportera </w:t>
      </w:r>
      <w:r w:rsidR="0026276C">
        <w:rPr>
          <w:color w:val="000000"/>
          <w:sz w:val="22"/>
          <w:szCs w:val="22"/>
        </w:rPr>
        <w:t xml:space="preserve">234 </w:t>
      </w:r>
      <w:r w:rsidR="00F040C1">
        <w:rPr>
          <w:color w:val="000000"/>
          <w:sz w:val="22"/>
          <w:szCs w:val="22"/>
        </w:rPr>
        <w:t>fiches.</w:t>
      </w:r>
    </w:p>
    <w:p w14:paraId="20460DC5" w14:textId="3B483AA1" w:rsidR="00D465B5" w:rsidRDefault="00D465B5" w:rsidP="00840759">
      <w:pPr>
        <w:jc w:val="both"/>
        <w:rPr>
          <w:color w:val="000000"/>
          <w:sz w:val="22"/>
          <w:szCs w:val="22"/>
        </w:rPr>
      </w:pPr>
    </w:p>
    <w:tbl>
      <w:tblPr>
        <w:tblW w:w="6551" w:type="dxa"/>
        <w:jc w:val="center"/>
        <w:tblLayout w:type="fixed"/>
        <w:tblCellMar>
          <w:left w:w="70" w:type="dxa"/>
          <w:right w:w="70" w:type="dxa"/>
        </w:tblCellMar>
        <w:tblLook w:val="0000" w:firstRow="0" w:lastRow="0" w:firstColumn="0" w:lastColumn="0" w:noHBand="0" w:noVBand="0"/>
      </w:tblPr>
      <w:tblGrid>
        <w:gridCol w:w="1980"/>
        <w:gridCol w:w="712"/>
        <w:gridCol w:w="629"/>
        <w:gridCol w:w="630"/>
        <w:gridCol w:w="629"/>
        <w:gridCol w:w="629"/>
        <w:gridCol w:w="630"/>
        <w:gridCol w:w="712"/>
      </w:tblGrid>
      <w:tr w:rsidR="00590AD3" w14:paraId="3C0203C4" w14:textId="77777777" w:rsidTr="003676C5">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14:paraId="0DD1815F" w14:textId="77777777" w:rsidR="00590AD3" w:rsidRDefault="00590AD3" w:rsidP="003676C5">
            <w:pPr>
              <w:suppressAutoHyphens w:val="0"/>
              <w:rPr>
                <w:sz w:val="20"/>
                <w:szCs w:val="20"/>
                <w:lang w:eastAsia="fr-FR"/>
              </w:rPr>
            </w:pPr>
          </w:p>
        </w:tc>
        <w:tc>
          <w:tcPr>
            <w:tcW w:w="712" w:type="dxa"/>
            <w:tcBorders>
              <w:top w:val="single" w:sz="4" w:space="0" w:color="auto"/>
              <w:left w:val="nil"/>
              <w:bottom w:val="single" w:sz="4" w:space="0" w:color="auto"/>
              <w:right w:val="single" w:sz="4" w:space="0" w:color="auto"/>
            </w:tcBorders>
            <w:shd w:val="clear" w:color="auto" w:fill="auto"/>
            <w:vAlign w:val="center"/>
          </w:tcPr>
          <w:p w14:paraId="395CC0DA" w14:textId="77777777" w:rsidR="00590AD3" w:rsidRDefault="00590AD3" w:rsidP="003676C5">
            <w:pPr>
              <w:suppressAutoHyphens w:val="0"/>
              <w:jc w:val="center"/>
              <w:rPr>
                <w:b/>
                <w:bCs/>
                <w:sz w:val="20"/>
                <w:szCs w:val="20"/>
                <w:lang w:eastAsia="fr-FR"/>
              </w:rPr>
            </w:pPr>
            <w:r>
              <w:rPr>
                <w:b/>
                <w:bCs/>
                <w:sz w:val="20"/>
                <w:szCs w:val="20"/>
                <w:lang w:eastAsia="fr-FR"/>
              </w:rPr>
              <w:t>AGRI</w:t>
            </w:r>
          </w:p>
        </w:tc>
        <w:tc>
          <w:tcPr>
            <w:tcW w:w="629" w:type="dxa"/>
            <w:tcBorders>
              <w:top w:val="single" w:sz="4" w:space="0" w:color="auto"/>
              <w:left w:val="nil"/>
              <w:bottom w:val="single" w:sz="4" w:space="0" w:color="auto"/>
              <w:right w:val="single" w:sz="4" w:space="0" w:color="auto"/>
            </w:tcBorders>
            <w:shd w:val="clear" w:color="auto" w:fill="auto"/>
            <w:vAlign w:val="center"/>
          </w:tcPr>
          <w:p w14:paraId="365F2C89" w14:textId="77777777" w:rsidR="00590AD3" w:rsidRDefault="00590AD3" w:rsidP="003676C5">
            <w:pPr>
              <w:suppressAutoHyphens w:val="0"/>
              <w:jc w:val="center"/>
              <w:rPr>
                <w:b/>
                <w:bCs/>
                <w:sz w:val="20"/>
                <w:szCs w:val="20"/>
                <w:lang w:eastAsia="fr-FR"/>
              </w:rPr>
            </w:pPr>
            <w:r>
              <w:rPr>
                <w:b/>
                <w:bCs/>
                <w:sz w:val="20"/>
                <w:szCs w:val="20"/>
                <w:lang w:eastAsia="fr-FR"/>
              </w:rPr>
              <w:t>BAR</w:t>
            </w:r>
          </w:p>
        </w:tc>
        <w:tc>
          <w:tcPr>
            <w:tcW w:w="630" w:type="dxa"/>
            <w:tcBorders>
              <w:top w:val="single" w:sz="4" w:space="0" w:color="auto"/>
              <w:left w:val="nil"/>
              <w:bottom w:val="single" w:sz="4" w:space="0" w:color="auto"/>
              <w:right w:val="single" w:sz="4" w:space="0" w:color="auto"/>
            </w:tcBorders>
            <w:shd w:val="clear" w:color="auto" w:fill="auto"/>
            <w:vAlign w:val="center"/>
          </w:tcPr>
          <w:p w14:paraId="7C3C463A" w14:textId="77777777" w:rsidR="00590AD3" w:rsidRDefault="00590AD3" w:rsidP="003676C5">
            <w:pPr>
              <w:suppressAutoHyphens w:val="0"/>
              <w:jc w:val="center"/>
              <w:rPr>
                <w:b/>
                <w:bCs/>
                <w:sz w:val="20"/>
                <w:szCs w:val="20"/>
                <w:lang w:eastAsia="fr-FR"/>
              </w:rPr>
            </w:pPr>
            <w:r>
              <w:rPr>
                <w:b/>
                <w:bCs/>
                <w:sz w:val="20"/>
                <w:szCs w:val="20"/>
                <w:lang w:eastAsia="fr-FR"/>
              </w:rPr>
              <w:t>BAT</w:t>
            </w:r>
          </w:p>
        </w:tc>
        <w:tc>
          <w:tcPr>
            <w:tcW w:w="629" w:type="dxa"/>
            <w:tcBorders>
              <w:top w:val="single" w:sz="4" w:space="0" w:color="auto"/>
              <w:left w:val="nil"/>
              <w:bottom w:val="single" w:sz="4" w:space="0" w:color="auto"/>
              <w:right w:val="single" w:sz="4" w:space="0" w:color="auto"/>
            </w:tcBorders>
            <w:shd w:val="clear" w:color="auto" w:fill="auto"/>
            <w:vAlign w:val="center"/>
          </w:tcPr>
          <w:p w14:paraId="2F5F23B2" w14:textId="77777777" w:rsidR="00590AD3" w:rsidRDefault="00590AD3" w:rsidP="003676C5">
            <w:pPr>
              <w:suppressAutoHyphens w:val="0"/>
              <w:jc w:val="center"/>
              <w:rPr>
                <w:b/>
                <w:bCs/>
                <w:sz w:val="20"/>
                <w:szCs w:val="20"/>
                <w:lang w:eastAsia="fr-FR"/>
              </w:rPr>
            </w:pPr>
            <w:r>
              <w:rPr>
                <w:b/>
                <w:bCs/>
                <w:sz w:val="20"/>
                <w:szCs w:val="20"/>
                <w:lang w:eastAsia="fr-FR"/>
              </w:rPr>
              <w:t>IND</w:t>
            </w:r>
          </w:p>
        </w:tc>
        <w:tc>
          <w:tcPr>
            <w:tcW w:w="629" w:type="dxa"/>
            <w:tcBorders>
              <w:top w:val="single" w:sz="4" w:space="0" w:color="auto"/>
              <w:left w:val="nil"/>
              <w:bottom w:val="single" w:sz="4" w:space="0" w:color="auto"/>
              <w:right w:val="single" w:sz="4" w:space="0" w:color="auto"/>
            </w:tcBorders>
            <w:shd w:val="clear" w:color="auto" w:fill="auto"/>
            <w:vAlign w:val="center"/>
          </w:tcPr>
          <w:p w14:paraId="6FE92A9E" w14:textId="77777777" w:rsidR="00590AD3" w:rsidRDefault="00590AD3" w:rsidP="003676C5">
            <w:pPr>
              <w:suppressAutoHyphens w:val="0"/>
              <w:jc w:val="center"/>
              <w:rPr>
                <w:b/>
                <w:bCs/>
                <w:sz w:val="20"/>
                <w:szCs w:val="20"/>
                <w:lang w:eastAsia="fr-FR"/>
              </w:rPr>
            </w:pPr>
            <w:r>
              <w:rPr>
                <w:b/>
                <w:bCs/>
                <w:sz w:val="20"/>
                <w:szCs w:val="20"/>
                <w:lang w:eastAsia="fr-FR"/>
              </w:rPr>
              <w:t>RES</w:t>
            </w:r>
          </w:p>
        </w:tc>
        <w:tc>
          <w:tcPr>
            <w:tcW w:w="630" w:type="dxa"/>
            <w:tcBorders>
              <w:top w:val="single" w:sz="4" w:space="0" w:color="auto"/>
              <w:left w:val="nil"/>
              <w:bottom w:val="single" w:sz="4" w:space="0" w:color="auto"/>
              <w:right w:val="single" w:sz="4" w:space="0" w:color="auto"/>
            </w:tcBorders>
            <w:shd w:val="clear" w:color="auto" w:fill="auto"/>
            <w:vAlign w:val="center"/>
          </w:tcPr>
          <w:p w14:paraId="5F14F020" w14:textId="77777777" w:rsidR="00590AD3" w:rsidRDefault="00590AD3" w:rsidP="003676C5">
            <w:pPr>
              <w:suppressAutoHyphens w:val="0"/>
              <w:jc w:val="center"/>
              <w:rPr>
                <w:b/>
                <w:bCs/>
                <w:sz w:val="20"/>
                <w:szCs w:val="20"/>
                <w:lang w:eastAsia="fr-FR"/>
              </w:rPr>
            </w:pPr>
            <w:r>
              <w:rPr>
                <w:b/>
                <w:bCs/>
                <w:sz w:val="20"/>
                <w:szCs w:val="20"/>
                <w:lang w:eastAsia="fr-FR"/>
              </w:rPr>
              <w:t>TRA</w:t>
            </w:r>
          </w:p>
        </w:tc>
        <w:tc>
          <w:tcPr>
            <w:tcW w:w="712" w:type="dxa"/>
            <w:tcBorders>
              <w:top w:val="single" w:sz="4" w:space="0" w:color="auto"/>
              <w:left w:val="nil"/>
              <w:bottom w:val="single" w:sz="4" w:space="0" w:color="auto"/>
              <w:right w:val="single" w:sz="4" w:space="0" w:color="auto"/>
            </w:tcBorders>
            <w:shd w:val="clear" w:color="auto" w:fill="FFFF99"/>
            <w:vAlign w:val="center"/>
          </w:tcPr>
          <w:p w14:paraId="414CD7DD" w14:textId="77777777" w:rsidR="00590AD3" w:rsidRDefault="00590AD3" w:rsidP="003676C5">
            <w:pPr>
              <w:suppressAutoHyphens w:val="0"/>
              <w:jc w:val="center"/>
              <w:rPr>
                <w:b/>
                <w:bCs/>
                <w:sz w:val="20"/>
                <w:szCs w:val="20"/>
                <w:lang w:eastAsia="fr-FR"/>
              </w:rPr>
            </w:pPr>
            <w:r>
              <w:rPr>
                <w:b/>
                <w:bCs/>
                <w:sz w:val="20"/>
                <w:szCs w:val="20"/>
                <w:lang w:eastAsia="fr-FR"/>
              </w:rPr>
              <w:t>Total</w:t>
            </w:r>
          </w:p>
        </w:tc>
      </w:tr>
      <w:tr w:rsidR="00590AD3" w14:paraId="49D9EDFE" w14:textId="77777777" w:rsidTr="003676C5">
        <w:trPr>
          <w:trHeight w:val="51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573ECF" w14:textId="77777777" w:rsidR="00590AD3" w:rsidRDefault="00590AD3" w:rsidP="003676C5">
            <w:pPr>
              <w:suppressAutoHyphens w:val="0"/>
              <w:jc w:val="center"/>
              <w:rPr>
                <w:sz w:val="22"/>
                <w:szCs w:val="22"/>
                <w:lang w:eastAsia="fr-FR"/>
              </w:rPr>
            </w:pPr>
            <w:r>
              <w:rPr>
                <w:sz w:val="22"/>
                <w:szCs w:val="22"/>
                <w:lang w:eastAsia="fr-FR"/>
              </w:rPr>
              <w:t>Nombre de fiches par secteur</w:t>
            </w:r>
          </w:p>
        </w:tc>
        <w:tc>
          <w:tcPr>
            <w:tcW w:w="712" w:type="dxa"/>
            <w:tcBorders>
              <w:top w:val="single" w:sz="4" w:space="0" w:color="auto"/>
              <w:left w:val="nil"/>
              <w:bottom w:val="single" w:sz="4" w:space="0" w:color="auto"/>
              <w:right w:val="single" w:sz="4" w:space="0" w:color="auto"/>
            </w:tcBorders>
            <w:shd w:val="clear" w:color="auto" w:fill="auto"/>
            <w:vAlign w:val="center"/>
          </w:tcPr>
          <w:p w14:paraId="1211656A" w14:textId="77777777" w:rsidR="00590AD3" w:rsidRDefault="00590AD3" w:rsidP="003676C5">
            <w:pPr>
              <w:suppressAutoHyphens w:val="0"/>
              <w:jc w:val="center"/>
              <w:rPr>
                <w:sz w:val="20"/>
                <w:szCs w:val="20"/>
                <w:lang w:eastAsia="fr-FR"/>
              </w:rPr>
            </w:pPr>
            <w:r>
              <w:rPr>
                <w:sz w:val="20"/>
                <w:szCs w:val="20"/>
                <w:lang w:eastAsia="fr-FR"/>
              </w:rPr>
              <w:t>28</w:t>
            </w:r>
          </w:p>
        </w:tc>
        <w:tc>
          <w:tcPr>
            <w:tcW w:w="629" w:type="dxa"/>
            <w:tcBorders>
              <w:top w:val="single" w:sz="4" w:space="0" w:color="auto"/>
              <w:left w:val="nil"/>
              <w:bottom w:val="single" w:sz="4" w:space="0" w:color="auto"/>
              <w:right w:val="single" w:sz="4" w:space="0" w:color="auto"/>
            </w:tcBorders>
            <w:shd w:val="clear" w:color="auto" w:fill="auto"/>
            <w:vAlign w:val="center"/>
          </w:tcPr>
          <w:p w14:paraId="406C61A9" w14:textId="77777777" w:rsidR="00590AD3" w:rsidRDefault="00590AD3" w:rsidP="003676C5">
            <w:pPr>
              <w:suppressAutoHyphens w:val="0"/>
              <w:jc w:val="center"/>
              <w:rPr>
                <w:sz w:val="20"/>
                <w:szCs w:val="20"/>
                <w:lang w:eastAsia="fr-FR"/>
              </w:rPr>
            </w:pPr>
            <w:r>
              <w:rPr>
                <w:sz w:val="20"/>
                <w:szCs w:val="20"/>
                <w:lang w:eastAsia="fr-FR"/>
              </w:rPr>
              <w:t>60</w:t>
            </w:r>
          </w:p>
        </w:tc>
        <w:tc>
          <w:tcPr>
            <w:tcW w:w="630" w:type="dxa"/>
            <w:tcBorders>
              <w:top w:val="single" w:sz="4" w:space="0" w:color="auto"/>
              <w:left w:val="nil"/>
              <w:bottom w:val="single" w:sz="4" w:space="0" w:color="auto"/>
              <w:right w:val="single" w:sz="4" w:space="0" w:color="auto"/>
            </w:tcBorders>
            <w:shd w:val="clear" w:color="auto" w:fill="auto"/>
            <w:vAlign w:val="center"/>
          </w:tcPr>
          <w:p w14:paraId="18EB552E" w14:textId="4E3F4BAA" w:rsidR="00590AD3" w:rsidRDefault="0026276C" w:rsidP="00CA357D">
            <w:pPr>
              <w:suppressAutoHyphens w:val="0"/>
              <w:jc w:val="center"/>
              <w:rPr>
                <w:sz w:val="20"/>
                <w:szCs w:val="20"/>
                <w:lang w:eastAsia="fr-FR"/>
              </w:rPr>
            </w:pPr>
            <w:r>
              <w:rPr>
                <w:sz w:val="20"/>
                <w:szCs w:val="20"/>
                <w:lang w:eastAsia="fr-FR"/>
              </w:rPr>
              <w:t>59</w:t>
            </w:r>
          </w:p>
        </w:tc>
        <w:tc>
          <w:tcPr>
            <w:tcW w:w="629" w:type="dxa"/>
            <w:tcBorders>
              <w:top w:val="single" w:sz="4" w:space="0" w:color="auto"/>
              <w:left w:val="nil"/>
              <w:bottom w:val="single" w:sz="4" w:space="0" w:color="auto"/>
              <w:right w:val="single" w:sz="4" w:space="0" w:color="auto"/>
            </w:tcBorders>
            <w:shd w:val="clear" w:color="auto" w:fill="auto"/>
            <w:vAlign w:val="center"/>
          </w:tcPr>
          <w:p w14:paraId="172F95D0" w14:textId="77777777" w:rsidR="00590AD3" w:rsidRDefault="00590AD3" w:rsidP="003676C5">
            <w:pPr>
              <w:suppressAutoHyphens w:val="0"/>
              <w:jc w:val="center"/>
              <w:rPr>
                <w:sz w:val="20"/>
                <w:szCs w:val="20"/>
                <w:lang w:eastAsia="fr-FR"/>
              </w:rPr>
            </w:pPr>
            <w:r>
              <w:rPr>
                <w:sz w:val="20"/>
                <w:szCs w:val="20"/>
                <w:lang w:eastAsia="fr-FR"/>
              </w:rPr>
              <w:t>36</w:t>
            </w:r>
          </w:p>
        </w:tc>
        <w:tc>
          <w:tcPr>
            <w:tcW w:w="629" w:type="dxa"/>
            <w:tcBorders>
              <w:top w:val="single" w:sz="4" w:space="0" w:color="auto"/>
              <w:left w:val="nil"/>
              <w:bottom w:val="single" w:sz="4" w:space="0" w:color="auto"/>
              <w:right w:val="single" w:sz="4" w:space="0" w:color="auto"/>
            </w:tcBorders>
            <w:shd w:val="clear" w:color="auto" w:fill="auto"/>
            <w:vAlign w:val="center"/>
          </w:tcPr>
          <w:p w14:paraId="179306B6" w14:textId="77777777" w:rsidR="00590AD3" w:rsidRDefault="00590AD3" w:rsidP="003676C5">
            <w:pPr>
              <w:suppressAutoHyphens w:val="0"/>
              <w:jc w:val="center"/>
              <w:rPr>
                <w:sz w:val="20"/>
                <w:szCs w:val="20"/>
                <w:lang w:eastAsia="fr-FR"/>
              </w:rPr>
            </w:pPr>
            <w:r>
              <w:rPr>
                <w:sz w:val="20"/>
                <w:szCs w:val="20"/>
                <w:lang w:eastAsia="fr-FR"/>
              </w:rPr>
              <w:t>7</w:t>
            </w:r>
          </w:p>
        </w:tc>
        <w:tc>
          <w:tcPr>
            <w:tcW w:w="630" w:type="dxa"/>
            <w:tcBorders>
              <w:top w:val="single" w:sz="4" w:space="0" w:color="auto"/>
              <w:left w:val="nil"/>
              <w:bottom w:val="single" w:sz="4" w:space="0" w:color="auto"/>
              <w:right w:val="single" w:sz="4" w:space="0" w:color="auto"/>
            </w:tcBorders>
            <w:shd w:val="clear" w:color="auto" w:fill="auto"/>
            <w:vAlign w:val="center"/>
          </w:tcPr>
          <w:p w14:paraId="7E7525CB" w14:textId="77777777" w:rsidR="00590AD3" w:rsidRDefault="00590AD3" w:rsidP="003676C5">
            <w:pPr>
              <w:suppressAutoHyphens w:val="0"/>
              <w:jc w:val="center"/>
              <w:rPr>
                <w:sz w:val="20"/>
                <w:szCs w:val="20"/>
                <w:lang w:eastAsia="fr-FR"/>
              </w:rPr>
            </w:pPr>
            <w:r>
              <w:rPr>
                <w:sz w:val="20"/>
                <w:szCs w:val="20"/>
                <w:lang w:eastAsia="fr-FR"/>
              </w:rPr>
              <w:t>43</w:t>
            </w:r>
          </w:p>
        </w:tc>
        <w:tc>
          <w:tcPr>
            <w:tcW w:w="712" w:type="dxa"/>
            <w:tcBorders>
              <w:top w:val="single" w:sz="4" w:space="0" w:color="auto"/>
              <w:left w:val="nil"/>
              <w:bottom w:val="single" w:sz="4" w:space="0" w:color="auto"/>
              <w:right w:val="single" w:sz="4" w:space="0" w:color="auto"/>
            </w:tcBorders>
            <w:shd w:val="clear" w:color="auto" w:fill="FFFF99"/>
            <w:vAlign w:val="center"/>
          </w:tcPr>
          <w:p w14:paraId="6F37C6FE" w14:textId="6D468867" w:rsidR="00590AD3" w:rsidRDefault="00590AD3" w:rsidP="003676C5">
            <w:pPr>
              <w:suppressAutoHyphens w:val="0"/>
              <w:jc w:val="center"/>
              <w:rPr>
                <w:b/>
                <w:bCs/>
                <w:sz w:val="20"/>
                <w:szCs w:val="20"/>
                <w:lang w:eastAsia="fr-FR"/>
              </w:rPr>
            </w:pPr>
            <w:r>
              <w:rPr>
                <w:b/>
                <w:bCs/>
                <w:sz w:val="20"/>
                <w:szCs w:val="20"/>
                <w:lang w:eastAsia="fr-FR"/>
              </w:rPr>
              <w:t>23</w:t>
            </w:r>
            <w:r w:rsidR="0026276C">
              <w:rPr>
                <w:b/>
                <w:bCs/>
                <w:sz w:val="20"/>
                <w:szCs w:val="20"/>
                <w:lang w:eastAsia="fr-FR"/>
              </w:rPr>
              <w:t>4</w:t>
            </w:r>
          </w:p>
        </w:tc>
      </w:tr>
    </w:tbl>
    <w:p w14:paraId="5CFE0942" w14:textId="15349DF7" w:rsidR="00590AD3" w:rsidRDefault="00590AD3" w:rsidP="00840759">
      <w:pPr>
        <w:jc w:val="both"/>
        <w:rPr>
          <w:color w:val="000000"/>
          <w:sz w:val="22"/>
          <w:szCs w:val="22"/>
        </w:rPr>
      </w:pPr>
    </w:p>
    <w:p w14:paraId="1E9CD244" w14:textId="6138B6C1" w:rsidR="00590AD3" w:rsidRDefault="00590AD3" w:rsidP="00840759">
      <w:pPr>
        <w:jc w:val="both"/>
        <w:rPr>
          <w:color w:val="000000"/>
          <w:sz w:val="22"/>
          <w:szCs w:val="22"/>
        </w:rPr>
      </w:pPr>
      <w:r>
        <w:rPr>
          <w:color w:val="000000"/>
          <w:sz w:val="22"/>
          <w:szCs w:val="22"/>
        </w:rPr>
        <w:t>Par ailleurs, des bonifications sont créées. Il est ainsi prévu :</w:t>
      </w:r>
    </w:p>
    <w:p w14:paraId="3E28806B" w14:textId="77777777" w:rsidR="00E90F15" w:rsidRDefault="00590AD3" w:rsidP="00E90F15">
      <w:pPr>
        <w:jc w:val="both"/>
        <w:rPr>
          <w:color w:val="000000"/>
          <w:sz w:val="22"/>
          <w:szCs w:val="22"/>
        </w:rPr>
      </w:pPr>
      <w:r>
        <w:rPr>
          <w:color w:val="000000"/>
          <w:sz w:val="22"/>
          <w:szCs w:val="22"/>
        </w:rPr>
        <w:t xml:space="preserve">a) Une bonification x4 </w:t>
      </w:r>
      <w:r w:rsidR="006D6605">
        <w:rPr>
          <w:color w:val="000000"/>
          <w:sz w:val="22"/>
          <w:szCs w:val="22"/>
        </w:rPr>
        <w:t>du forfait de CEE des</w:t>
      </w:r>
      <w:r>
        <w:rPr>
          <w:color w:val="000000"/>
          <w:sz w:val="22"/>
          <w:szCs w:val="22"/>
        </w:rPr>
        <w:t xml:space="preserve"> fiches d’opérations standardisées TRA-SE-117 « Fret fluvial », TRA-EQ-128 « </w:t>
      </w:r>
      <w:r w:rsidRPr="00590AD3">
        <w:rPr>
          <w:color w:val="000000"/>
          <w:sz w:val="22"/>
          <w:szCs w:val="22"/>
        </w:rPr>
        <w:t>Achat ou location d’un autocar ou d’un autobus électrique neuf ou réalisation d’une opération de rétrofit él</w:t>
      </w:r>
      <w:r>
        <w:rPr>
          <w:color w:val="000000"/>
          <w:sz w:val="22"/>
          <w:szCs w:val="22"/>
        </w:rPr>
        <w:t>ectrique d’autocar ou d’autobus » et TRA-EQ-129 « </w:t>
      </w:r>
      <w:r w:rsidRPr="00590AD3">
        <w:rPr>
          <w:color w:val="000000"/>
          <w:sz w:val="22"/>
          <w:szCs w:val="22"/>
        </w:rPr>
        <w:t>Achat ou location d’un poids lourd</w:t>
      </w:r>
      <w:r>
        <w:rPr>
          <w:color w:val="000000"/>
          <w:sz w:val="22"/>
          <w:szCs w:val="22"/>
        </w:rPr>
        <w:t xml:space="preserve"> électrique »</w:t>
      </w:r>
      <w:r w:rsidR="00B91807">
        <w:rPr>
          <w:color w:val="000000"/>
          <w:sz w:val="22"/>
          <w:szCs w:val="22"/>
        </w:rPr>
        <w:t> ;</w:t>
      </w:r>
    </w:p>
    <w:p w14:paraId="1FC311A1" w14:textId="14BB0DB3" w:rsidR="00E90F15" w:rsidRPr="00E90F15" w:rsidRDefault="00E90F15" w:rsidP="00E90F15">
      <w:pPr>
        <w:jc w:val="both"/>
        <w:rPr>
          <w:color w:val="000000"/>
          <w:sz w:val="22"/>
          <w:szCs w:val="22"/>
        </w:rPr>
      </w:pPr>
      <w:r>
        <w:rPr>
          <w:color w:val="000000"/>
          <w:sz w:val="22"/>
          <w:szCs w:val="22"/>
        </w:rPr>
        <w:t>b) une bonification x</w:t>
      </w:r>
      <w:r w:rsidR="00125EFD">
        <w:rPr>
          <w:color w:val="000000"/>
          <w:sz w:val="22"/>
          <w:szCs w:val="22"/>
        </w:rPr>
        <w:t>3</w:t>
      </w:r>
      <w:r>
        <w:rPr>
          <w:color w:val="000000"/>
          <w:sz w:val="22"/>
          <w:szCs w:val="22"/>
        </w:rPr>
        <w:t xml:space="preserve"> du forfait de CEE de la fiche </w:t>
      </w:r>
      <w:r w:rsidRPr="00E90F15">
        <w:rPr>
          <w:color w:val="000000"/>
          <w:sz w:val="22"/>
          <w:szCs w:val="22"/>
        </w:rPr>
        <w:t>TRA-EQ-114 « Achat ou location d’un véhicule léger ou véhicule utilitaire léger électrique neuf ou opération de rétrofit électrique d’un véhicule léger ou véhicule utilitaire léger, par une collectivité locale ou une autre personne morale »</w:t>
      </w:r>
      <w:r w:rsidR="00DC2689">
        <w:rPr>
          <w:color w:val="000000"/>
          <w:sz w:val="22"/>
          <w:szCs w:val="22"/>
        </w:rPr>
        <w:t xml:space="preserve"> et de la fiche </w:t>
      </w:r>
      <w:r w:rsidR="00DC2689" w:rsidRPr="00E90F15">
        <w:rPr>
          <w:color w:val="000000"/>
          <w:sz w:val="22"/>
          <w:szCs w:val="22"/>
        </w:rPr>
        <w:t>TRA-EQ-11</w:t>
      </w:r>
      <w:r w:rsidR="00DC2689">
        <w:rPr>
          <w:color w:val="000000"/>
          <w:sz w:val="22"/>
          <w:szCs w:val="22"/>
        </w:rPr>
        <w:t>7</w:t>
      </w:r>
      <w:r w:rsidR="00DC2689" w:rsidRPr="00E90F15">
        <w:rPr>
          <w:color w:val="000000"/>
          <w:sz w:val="22"/>
          <w:szCs w:val="22"/>
        </w:rPr>
        <w:t xml:space="preserve"> « </w:t>
      </w:r>
      <w:r w:rsidR="00DC2689" w:rsidRPr="00DC2689">
        <w:rPr>
          <w:bCs/>
          <w:color w:val="000000"/>
          <w:sz w:val="22"/>
          <w:szCs w:val="22"/>
        </w:rPr>
        <w:t xml:space="preserve">Achat </w:t>
      </w:r>
      <w:r w:rsidR="00DC2689" w:rsidRPr="00DC2689">
        <w:rPr>
          <w:bCs/>
          <w:color w:val="000000"/>
          <w:sz w:val="22"/>
          <w:szCs w:val="22"/>
        </w:rPr>
        <w:lastRenderedPageBreak/>
        <w:t>ou location d’un véhicule léger ou véhicule utilitaire léger électrique neuf ou opération de rétrofit électrique d’un véhicule léger ou véhicule utilitaire léger, par des particuliers</w:t>
      </w:r>
      <w:r w:rsidR="00DC2689">
        <w:rPr>
          <w:color w:val="000000"/>
          <w:sz w:val="22"/>
          <w:szCs w:val="22"/>
        </w:rPr>
        <w:t xml:space="preserve"> </w:t>
      </w:r>
      <w:r w:rsidR="00DC2689" w:rsidRPr="00E90F15">
        <w:rPr>
          <w:color w:val="000000"/>
          <w:sz w:val="22"/>
          <w:szCs w:val="22"/>
        </w:rPr>
        <w:t>»</w:t>
      </w:r>
      <w:r w:rsidR="00D17B57">
        <w:rPr>
          <w:color w:val="000000"/>
          <w:sz w:val="22"/>
          <w:szCs w:val="22"/>
        </w:rPr>
        <w:t>,</w:t>
      </w:r>
      <w:r w:rsidRPr="00E90F15">
        <w:rPr>
          <w:color w:val="000000"/>
          <w:sz w:val="22"/>
          <w:szCs w:val="22"/>
        </w:rPr>
        <w:t xml:space="preserve"> pour les véhicules utilitaires légers</w:t>
      </w:r>
      <w:r w:rsidR="00F30372">
        <w:rPr>
          <w:color w:val="000000"/>
          <w:sz w:val="22"/>
          <w:szCs w:val="22"/>
        </w:rPr>
        <w:t xml:space="preserve"> neufs </w:t>
      </w:r>
      <w:r w:rsidRPr="00E90F15">
        <w:rPr>
          <w:color w:val="000000"/>
          <w:sz w:val="22"/>
          <w:szCs w:val="22"/>
        </w:rPr>
        <w:t xml:space="preserve">; </w:t>
      </w:r>
    </w:p>
    <w:p w14:paraId="23C4B906" w14:textId="45EBDAD8" w:rsidR="00A92961" w:rsidRDefault="00E90F15" w:rsidP="00A92961">
      <w:pPr>
        <w:jc w:val="both"/>
        <w:rPr>
          <w:color w:val="000000"/>
          <w:sz w:val="22"/>
          <w:szCs w:val="22"/>
        </w:rPr>
      </w:pPr>
      <w:r>
        <w:rPr>
          <w:color w:val="000000"/>
          <w:sz w:val="22"/>
          <w:szCs w:val="22"/>
        </w:rPr>
        <w:t>c</w:t>
      </w:r>
      <w:r w:rsidR="00590AD3">
        <w:rPr>
          <w:color w:val="000000"/>
          <w:sz w:val="22"/>
          <w:szCs w:val="22"/>
        </w:rPr>
        <w:t xml:space="preserve">) Une bonification x2 </w:t>
      </w:r>
      <w:r w:rsidR="006D6605">
        <w:rPr>
          <w:color w:val="000000"/>
          <w:sz w:val="22"/>
          <w:szCs w:val="22"/>
        </w:rPr>
        <w:t xml:space="preserve">du forfait de CEE des </w:t>
      </w:r>
      <w:r w:rsidR="00590AD3">
        <w:rPr>
          <w:color w:val="000000"/>
          <w:sz w:val="22"/>
          <w:szCs w:val="22"/>
        </w:rPr>
        <w:t>fiches d’opérations standardisées IND-UT-138 « </w:t>
      </w:r>
      <w:r w:rsidR="00590AD3" w:rsidRPr="00590AD3">
        <w:rPr>
          <w:color w:val="000000"/>
          <w:sz w:val="22"/>
          <w:szCs w:val="22"/>
        </w:rPr>
        <w:t>Conversion de chaleur fatale en</w:t>
      </w:r>
      <w:r w:rsidR="00590AD3">
        <w:rPr>
          <w:color w:val="000000"/>
          <w:sz w:val="22"/>
          <w:szCs w:val="22"/>
        </w:rPr>
        <w:t xml:space="preserve"> électricité ou en air comprimé »</w:t>
      </w:r>
      <w:r w:rsidR="00D17B57">
        <w:rPr>
          <w:color w:val="000000"/>
          <w:sz w:val="22"/>
          <w:szCs w:val="22"/>
        </w:rPr>
        <w:t>,</w:t>
      </w:r>
      <w:r w:rsidR="00590AD3">
        <w:rPr>
          <w:color w:val="000000"/>
          <w:sz w:val="22"/>
          <w:szCs w:val="22"/>
        </w:rPr>
        <w:t xml:space="preserve"> IND-UT-139 « </w:t>
      </w:r>
      <w:r w:rsidR="00590AD3" w:rsidRPr="00590AD3">
        <w:rPr>
          <w:color w:val="000000"/>
          <w:sz w:val="22"/>
          <w:szCs w:val="22"/>
        </w:rPr>
        <w:t>Systèm</w:t>
      </w:r>
      <w:r w:rsidR="00590AD3">
        <w:rPr>
          <w:color w:val="000000"/>
          <w:sz w:val="22"/>
          <w:szCs w:val="22"/>
        </w:rPr>
        <w:t>e de stockage de chaleur fatale »</w:t>
      </w:r>
      <w:r>
        <w:rPr>
          <w:color w:val="000000"/>
          <w:sz w:val="22"/>
          <w:szCs w:val="22"/>
        </w:rPr>
        <w:t xml:space="preserve"> et</w:t>
      </w:r>
      <w:r w:rsidR="002A2D5F">
        <w:rPr>
          <w:color w:val="000000"/>
          <w:sz w:val="22"/>
          <w:szCs w:val="22"/>
        </w:rPr>
        <w:t xml:space="preserve"> </w:t>
      </w:r>
      <w:r w:rsidRPr="00E90F15">
        <w:rPr>
          <w:color w:val="000000"/>
          <w:sz w:val="22"/>
          <w:szCs w:val="22"/>
        </w:rPr>
        <w:t>TRA-EQ-130 « Achat ou location d’un quadricycle électrique léger neuf »</w:t>
      </w:r>
      <w:r>
        <w:rPr>
          <w:color w:val="000000"/>
          <w:sz w:val="22"/>
          <w:szCs w:val="22"/>
        </w:rPr>
        <w:t>.</w:t>
      </w:r>
    </w:p>
    <w:p w14:paraId="59A5FCF2" w14:textId="77777777" w:rsidR="00E90F15" w:rsidRDefault="00E90F15" w:rsidP="00A92961">
      <w:pPr>
        <w:jc w:val="both"/>
        <w:rPr>
          <w:color w:val="000000"/>
          <w:sz w:val="22"/>
          <w:szCs w:val="22"/>
        </w:rPr>
      </w:pPr>
    </w:p>
    <w:p w14:paraId="6D310DA8" w14:textId="7858DDBE" w:rsidR="00A92961" w:rsidRDefault="00F23C07" w:rsidP="00A92961">
      <w:pPr>
        <w:jc w:val="both"/>
        <w:rPr>
          <w:color w:val="000000"/>
          <w:sz w:val="22"/>
          <w:szCs w:val="22"/>
        </w:rPr>
      </w:pPr>
      <w:r>
        <w:rPr>
          <w:color w:val="000000"/>
          <w:sz w:val="22"/>
          <w:szCs w:val="22"/>
        </w:rPr>
        <w:t>Enfin,</w:t>
      </w:r>
      <w:r w:rsidR="00960605">
        <w:rPr>
          <w:color w:val="000000"/>
          <w:sz w:val="22"/>
          <w:szCs w:val="22"/>
        </w:rPr>
        <w:t xml:space="preserve"> il est proposé de </w:t>
      </w:r>
      <w:r>
        <w:rPr>
          <w:color w:val="000000"/>
          <w:sz w:val="22"/>
          <w:szCs w:val="22"/>
        </w:rPr>
        <w:t>reporter</w:t>
      </w:r>
      <w:r w:rsidR="00960605">
        <w:rPr>
          <w:color w:val="000000"/>
          <w:sz w:val="22"/>
          <w:szCs w:val="22"/>
        </w:rPr>
        <w:t xml:space="preserve"> d’une année (jusqu’au 31 décembre 2026) la date limite d’achèvement des opérations pour bénéficier de la bonification prévue à l’article 5 de l’arrêté « modalités » concernant le changement de combustible dans les installations </w:t>
      </w:r>
      <w:r w:rsidR="00D17B57">
        <w:rPr>
          <w:color w:val="000000"/>
          <w:sz w:val="22"/>
          <w:szCs w:val="22"/>
        </w:rPr>
        <w:t xml:space="preserve">industrielles </w:t>
      </w:r>
      <w:r w:rsidR="00960605">
        <w:rPr>
          <w:color w:val="000000"/>
          <w:sz w:val="22"/>
          <w:szCs w:val="22"/>
        </w:rPr>
        <w:t>relevant du système des quotas de CO2</w:t>
      </w:r>
      <w:r w:rsidR="00D17B57">
        <w:rPr>
          <w:color w:val="000000"/>
          <w:sz w:val="22"/>
          <w:szCs w:val="22"/>
        </w:rPr>
        <w:t>, engagées en 4</w:t>
      </w:r>
      <w:r w:rsidR="00D17B57" w:rsidRPr="005C3099">
        <w:rPr>
          <w:color w:val="000000"/>
          <w:sz w:val="22"/>
          <w:szCs w:val="22"/>
          <w:vertAlign w:val="superscript"/>
        </w:rPr>
        <w:t>ème</w:t>
      </w:r>
      <w:r w:rsidR="00D17B57">
        <w:rPr>
          <w:color w:val="000000"/>
          <w:sz w:val="22"/>
          <w:szCs w:val="22"/>
        </w:rPr>
        <w:t xml:space="preserve"> période</w:t>
      </w:r>
      <w:r w:rsidR="00960605">
        <w:rPr>
          <w:color w:val="000000"/>
          <w:sz w:val="22"/>
          <w:szCs w:val="22"/>
        </w:rPr>
        <w:t>.</w:t>
      </w:r>
    </w:p>
    <w:p w14:paraId="7A048117" w14:textId="77777777" w:rsidR="00960605" w:rsidRDefault="00960605" w:rsidP="00A92961">
      <w:pPr>
        <w:jc w:val="both"/>
        <w:rPr>
          <w:color w:val="000000"/>
          <w:sz w:val="22"/>
          <w:szCs w:val="22"/>
        </w:rPr>
      </w:pPr>
    </w:p>
    <w:p w14:paraId="4F807A85" w14:textId="77777777" w:rsidR="00D17B57" w:rsidRDefault="00F23C07" w:rsidP="00C66A2D">
      <w:pPr>
        <w:jc w:val="both"/>
        <w:rPr>
          <w:color w:val="000000"/>
          <w:sz w:val="22"/>
          <w:szCs w:val="22"/>
        </w:rPr>
      </w:pPr>
      <w:r>
        <w:rPr>
          <w:color w:val="000000"/>
          <w:sz w:val="22"/>
          <w:szCs w:val="22"/>
        </w:rPr>
        <w:t xml:space="preserve">Ce projet d’arrêté fait également l’objet d’une consultation du public. </w:t>
      </w:r>
    </w:p>
    <w:p w14:paraId="21FEA6CA" w14:textId="77777777" w:rsidR="00D17B57" w:rsidRDefault="00D17B57" w:rsidP="00C66A2D">
      <w:pPr>
        <w:jc w:val="both"/>
        <w:rPr>
          <w:color w:val="000000"/>
          <w:sz w:val="22"/>
          <w:szCs w:val="22"/>
        </w:rPr>
      </w:pPr>
    </w:p>
    <w:p w14:paraId="31D11B22" w14:textId="0EE92A0B" w:rsidR="00024943" w:rsidRDefault="00F23C07" w:rsidP="00C66A2D">
      <w:pPr>
        <w:jc w:val="both"/>
        <w:rPr>
          <w:color w:val="000000"/>
          <w:sz w:val="22"/>
          <w:szCs w:val="22"/>
        </w:rPr>
      </w:pPr>
      <w:r>
        <w:rPr>
          <w:color w:val="000000"/>
          <w:sz w:val="22"/>
          <w:szCs w:val="22"/>
        </w:rPr>
        <w:t>Cette période de consultation permettra de préciser les</w:t>
      </w:r>
      <w:r w:rsidRPr="00F23C07">
        <w:rPr>
          <w:color w:val="000000"/>
          <w:sz w:val="22"/>
          <w:szCs w:val="22"/>
        </w:rPr>
        <w:t xml:space="preserve"> critères d'éligibilité </w:t>
      </w:r>
      <w:r>
        <w:rPr>
          <w:color w:val="000000"/>
          <w:sz w:val="22"/>
          <w:szCs w:val="22"/>
        </w:rPr>
        <w:t xml:space="preserve">des fiches d’opérations standardisées susmentionnées </w:t>
      </w:r>
      <w:r w:rsidRPr="00F23C07">
        <w:rPr>
          <w:color w:val="000000"/>
          <w:sz w:val="22"/>
          <w:szCs w:val="22"/>
        </w:rPr>
        <w:t>et d</w:t>
      </w:r>
      <w:r w:rsidR="00FB3DE4">
        <w:rPr>
          <w:color w:val="000000"/>
          <w:sz w:val="22"/>
          <w:szCs w:val="22"/>
        </w:rPr>
        <w:t>’</w:t>
      </w:r>
      <w:r w:rsidRPr="00F23C07">
        <w:rPr>
          <w:color w:val="000000"/>
          <w:sz w:val="22"/>
          <w:szCs w:val="22"/>
        </w:rPr>
        <w:t>e</w:t>
      </w:r>
      <w:r w:rsidR="00FB3DE4">
        <w:rPr>
          <w:color w:val="000000"/>
          <w:sz w:val="22"/>
          <w:szCs w:val="22"/>
        </w:rPr>
        <w:t>n</w:t>
      </w:r>
      <w:r w:rsidRPr="00F23C07">
        <w:rPr>
          <w:color w:val="000000"/>
          <w:sz w:val="22"/>
          <w:szCs w:val="22"/>
        </w:rPr>
        <w:t xml:space="preserve"> </w:t>
      </w:r>
      <w:r>
        <w:rPr>
          <w:color w:val="000000"/>
          <w:sz w:val="22"/>
          <w:szCs w:val="22"/>
        </w:rPr>
        <w:t xml:space="preserve">définir </w:t>
      </w:r>
      <w:r w:rsidR="00FB3DE4">
        <w:rPr>
          <w:color w:val="000000"/>
          <w:sz w:val="22"/>
          <w:szCs w:val="22"/>
        </w:rPr>
        <w:t>l</w:t>
      </w:r>
      <w:r>
        <w:rPr>
          <w:color w:val="000000"/>
          <w:sz w:val="22"/>
          <w:szCs w:val="22"/>
        </w:rPr>
        <w:t xml:space="preserve">es modalités de </w:t>
      </w:r>
      <w:r w:rsidRPr="00F23C07">
        <w:rPr>
          <w:color w:val="000000"/>
          <w:sz w:val="22"/>
          <w:szCs w:val="22"/>
        </w:rPr>
        <w:t>contrôle.</w:t>
      </w:r>
      <w:r>
        <w:rPr>
          <w:color w:val="000000"/>
          <w:sz w:val="22"/>
          <w:szCs w:val="22"/>
        </w:rPr>
        <w:t xml:space="preserve"> Ces dispositions, visant à lutter contre la fraude, seront intégrées dans l’arrêté publié. </w:t>
      </w:r>
      <w:r w:rsidR="00024943">
        <w:rPr>
          <w:color w:val="000000"/>
          <w:sz w:val="22"/>
          <w:szCs w:val="22"/>
        </w:rPr>
        <w:br w:type="page"/>
      </w:r>
    </w:p>
    <w:p w14:paraId="748F10AF" w14:textId="64DFA5DD" w:rsidR="00F040C1" w:rsidRDefault="00F040C1">
      <w:pPr>
        <w:pStyle w:val="NormalWeb"/>
        <w:spacing w:before="0" w:after="0"/>
        <w:ind w:left="-851"/>
        <w:jc w:val="center"/>
        <w:rPr>
          <w:rFonts w:ascii="Times New Roman" w:hAnsi="Times New Roman" w:cs="Times New Roman"/>
          <w:b/>
          <w:color w:val="000000"/>
          <w:sz w:val="22"/>
          <w:szCs w:val="22"/>
        </w:rPr>
      </w:pPr>
      <w:r>
        <w:rPr>
          <w:rFonts w:ascii="Times New Roman" w:hAnsi="Times New Roman" w:cs="Times New Roman"/>
          <w:b/>
          <w:color w:val="000000"/>
          <w:sz w:val="22"/>
          <w:szCs w:val="22"/>
        </w:rPr>
        <w:lastRenderedPageBreak/>
        <w:t>ANNEXE</w:t>
      </w:r>
    </w:p>
    <w:p w14:paraId="2F7FF5B2" w14:textId="77777777" w:rsidR="00F040C1" w:rsidRDefault="00F040C1" w:rsidP="005C0659">
      <w:pPr>
        <w:pStyle w:val="NormalWeb"/>
        <w:tabs>
          <w:tab w:val="right" w:pos="9637"/>
        </w:tabs>
        <w:spacing w:before="0" w:after="0"/>
        <w:jc w:val="both"/>
        <w:rPr>
          <w:rFonts w:ascii="Times New Roman" w:hAnsi="Times New Roman" w:cs="Times New Roman"/>
          <w:sz w:val="22"/>
          <w:szCs w:val="22"/>
        </w:rPr>
      </w:pPr>
    </w:p>
    <w:tbl>
      <w:tblPr>
        <w:tblW w:w="10552" w:type="dxa"/>
        <w:jc w:val="center"/>
        <w:tblLayout w:type="fixed"/>
        <w:tblCellMar>
          <w:top w:w="55" w:type="dxa"/>
          <w:left w:w="55" w:type="dxa"/>
          <w:bottom w:w="55" w:type="dxa"/>
          <w:right w:w="55" w:type="dxa"/>
        </w:tblCellMar>
        <w:tblLook w:val="0000" w:firstRow="0" w:lastRow="0" w:firstColumn="0" w:lastColumn="0" w:noHBand="0" w:noVBand="0"/>
      </w:tblPr>
      <w:tblGrid>
        <w:gridCol w:w="3747"/>
        <w:gridCol w:w="1558"/>
        <w:gridCol w:w="5247"/>
      </w:tblGrid>
      <w:tr w:rsidR="00F040C1" w14:paraId="28B8580A" w14:textId="77777777" w:rsidTr="00AB4DB9">
        <w:trPr>
          <w:tblHeader/>
          <w:jc w:val="center"/>
        </w:trPr>
        <w:tc>
          <w:tcPr>
            <w:tcW w:w="10552" w:type="dxa"/>
            <w:gridSpan w:val="3"/>
            <w:tcBorders>
              <w:top w:val="single" w:sz="4" w:space="0" w:color="auto"/>
              <w:left w:val="single" w:sz="4" w:space="0" w:color="auto"/>
              <w:bottom w:val="single" w:sz="4" w:space="0" w:color="auto"/>
              <w:right w:val="single" w:sz="4" w:space="0" w:color="auto"/>
            </w:tcBorders>
            <w:shd w:val="clear" w:color="auto" w:fill="auto"/>
          </w:tcPr>
          <w:p w14:paraId="5B018BB3" w14:textId="77777777" w:rsidR="00F040C1" w:rsidRPr="00606976" w:rsidRDefault="001B73C4">
            <w:pPr>
              <w:pStyle w:val="Contenudetableau"/>
              <w:jc w:val="center"/>
              <w:rPr>
                <w:b/>
                <w:bCs/>
                <w:sz w:val="20"/>
                <w:szCs w:val="20"/>
              </w:rPr>
            </w:pPr>
            <w:r>
              <w:rPr>
                <w:b/>
                <w:bCs/>
                <w:sz w:val="20"/>
                <w:szCs w:val="20"/>
              </w:rPr>
              <w:t>Modification</w:t>
            </w:r>
            <w:r w:rsidR="00F040C1" w:rsidRPr="00606976">
              <w:rPr>
                <w:b/>
                <w:bCs/>
                <w:sz w:val="20"/>
                <w:szCs w:val="20"/>
              </w:rPr>
              <w:t xml:space="preserve"> d</w:t>
            </w:r>
            <w:r>
              <w:rPr>
                <w:b/>
                <w:bCs/>
                <w:sz w:val="20"/>
                <w:szCs w:val="20"/>
              </w:rPr>
              <w:t>e</w:t>
            </w:r>
            <w:r w:rsidR="009B7215">
              <w:rPr>
                <w:b/>
                <w:bCs/>
                <w:sz w:val="20"/>
                <w:szCs w:val="20"/>
              </w:rPr>
              <w:t xml:space="preserve"> </w:t>
            </w:r>
            <w:r w:rsidR="00F040C1" w:rsidRPr="00606976">
              <w:rPr>
                <w:b/>
                <w:bCs/>
                <w:sz w:val="20"/>
                <w:szCs w:val="20"/>
              </w:rPr>
              <w:t>fiche</w:t>
            </w:r>
            <w:r>
              <w:rPr>
                <w:b/>
                <w:bCs/>
                <w:sz w:val="20"/>
                <w:szCs w:val="20"/>
              </w:rPr>
              <w:t>s</w:t>
            </w:r>
            <w:r w:rsidR="00F040C1" w:rsidRPr="00606976">
              <w:rPr>
                <w:b/>
                <w:bCs/>
                <w:sz w:val="20"/>
                <w:szCs w:val="20"/>
              </w:rPr>
              <w:t xml:space="preserve"> déjà publiée</w:t>
            </w:r>
            <w:r>
              <w:rPr>
                <w:b/>
                <w:bCs/>
                <w:sz w:val="20"/>
                <w:szCs w:val="20"/>
              </w:rPr>
              <w:t>s</w:t>
            </w:r>
          </w:p>
          <w:p w14:paraId="65592A4A" w14:textId="18EAF370" w:rsidR="006072E1" w:rsidRDefault="006072E1" w:rsidP="002056F9">
            <w:pPr>
              <w:pStyle w:val="Contenudetableau"/>
              <w:jc w:val="center"/>
              <w:rPr>
                <w:b/>
                <w:bCs/>
                <w:sz w:val="20"/>
                <w:szCs w:val="20"/>
              </w:rPr>
            </w:pPr>
          </w:p>
        </w:tc>
      </w:tr>
      <w:tr w:rsidR="00F040C1" w14:paraId="6BA11C7E" w14:textId="77777777" w:rsidTr="0082611C">
        <w:trPr>
          <w:trHeight w:val="386"/>
          <w:tblHeader/>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4316347A" w14:textId="77777777" w:rsidR="00F040C1" w:rsidRDefault="00F040C1">
            <w:pPr>
              <w:pStyle w:val="Contenudetableau"/>
              <w:jc w:val="center"/>
              <w:rPr>
                <w:b/>
                <w:bCs/>
                <w:sz w:val="20"/>
                <w:szCs w:val="20"/>
              </w:rPr>
            </w:pPr>
            <w:r>
              <w:rPr>
                <w:b/>
                <w:bCs/>
                <w:sz w:val="20"/>
                <w:szCs w:val="20"/>
              </w:rPr>
              <w:t>Intitulé de la fiche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5E7F2AE" w14:textId="77777777" w:rsidR="00F040C1" w:rsidRDefault="00F040C1" w:rsidP="00AB4DB9">
            <w:pPr>
              <w:pStyle w:val="Contenudetableau"/>
              <w:ind w:left="-85" w:right="-23"/>
              <w:jc w:val="center"/>
              <w:rPr>
                <w:b/>
                <w:bCs/>
                <w:sz w:val="20"/>
                <w:szCs w:val="20"/>
              </w:rPr>
            </w:pPr>
            <w:r>
              <w:rPr>
                <w:b/>
                <w:bCs/>
                <w:sz w:val="20"/>
                <w:szCs w:val="20"/>
              </w:rPr>
              <w:t>N° de référence</w:t>
            </w:r>
          </w:p>
        </w:tc>
        <w:tc>
          <w:tcPr>
            <w:tcW w:w="5247" w:type="dxa"/>
            <w:tcBorders>
              <w:top w:val="single" w:sz="4" w:space="0" w:color="auto"/>
              <w:left w:val="single" w:sz="4" w:space="0" w:color="auto"/>
              <w:bottom w:val="single" w:sz="4" w:space="0" w:color="auto"/>
              <w:right w:val="single" w:sz="4" w:space="0" w:color="auto"/>
            </w:tcBorders>
            <w:vAlign w:val="center"/>
          </w:tcPr>
          <w:p w14:paraId="6E55C630" w14:textId="77777777" w:rsidR="00F040C1" w:rsidRDefault="00F040C1">
            <w:pPr>
              <w:pStyle w:val="Contenudetableau"/>
              <w:jc w:val="center"/>
              <w:rPr>
                <w:b/>
                <w:bCs/>
                <w:sz w:val="20"/>
                <w:szCs w:val="20"/>
              </w:rPr>
            </w:pPr>
            <w:r>
              <w:rPr>
                <w:b/>
                <w:sz w:val="20"/>
                <w:szCs w:val="20"/>
              </w:rPr>
              <w:t>Commentaires</w:t>
            </w:r>
          </w:p>
        </w:tc>
      </w:tr>
      <w:tr w:rsidR="008A7306" w14:paraId="1045CFCB"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5BED082E" w14:textId="178089D0" w:rsidR="008A7306" w:rsidRPr="00AB7FA3" w:rsidRDefault="00A31F67" w:rsidP="00E4710E">
            <w:pPr>
              <w:rPr>
                <w:sz w:val="20"/>
                <w:szCs w:val="20"/>
              </w:rPr>
            </w:pPr>
            <w:r w:rsidRPr="00A31F67">
              <w:rPr>
                <w:sz w:val="20"/>
                <w:szCs w:val="20"/>
              </w:rPr>
              <w:t>Double écran thermique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F5FAF51" w14:textId="56600B89" w:rsidR="008A7306" w:rsidRDefault="00A31F67" w:rsidP="002056F9">
            <w:pPr>
              <w:ind w:left="-85" w:right="-23"/>
              <w:jc w:val="center"/>
              <w:rPr>
                <w:sz w:val="20"/>
                <w:szCs w:val="20"/>
              </w:rPr>
            </w:pPr>
            <w:r>
              <w:rPr>
                <w:sz w:val="20"/>
                <w:szCs w:val="20"/>
              </w:rPr>
              <w:t>AGRI-EQ-102</w:t>
            </w:r>
          </w:p>
        </w:tc>
        <w:tc>
          <w:tcPr>
            <w:tcW w:w="5247" w:type="dxa"/>
            <w:tcBorders>
              <w:top w:val="single" w:sz="4" w:space="0" w:color="auto"/>
              <w:left w:val="single" w:sz="4" w:space="0" w:color="auto"/>
              <w:bottom w:val="single" w:sz="4" w:space="0" w:color="auto"/>
              <w:right w:val="single" w:sz="4" w:space="0" w:color="auto"/>
            </w:tcBorders>
            <w:vAlign w:val="center"/>
          </w:tcPr>
          <w:p w14:paraId="04D591C4" w14:textId="037DDD6A" w:rsidR="008A7306" w:rsidRDefault="00010880" w:rsidP="002056F9">
            <w:pPr>
              <w:jc w:val="both"/>
              <w:rPr>
                <w:sz w:val="20"/>
                <w:szCs w:val="20"/>
              </w:rPr>
            </w:pPr>
            <w:r>
              <w:rPr>
                <w:sz w:val="20"/>
                <w:szCs w:val="20"/>
              </w:rPr>
              <w:t>Forfait de CEE actualisé avec mise à jour de la situation de référence.</w:t>
            </w:r>
          </w:p>
        </w:tc>
      </w:tr>
      <w:tr w:rsidR="00906043" w14:paraId="0114CFFE"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7C2F4502" w14:textId="0A727F79" w:rsidR="00906043" w:rsidRPr="00AB7FA3" w:rsidRDefault="00C954D0" w:rsidP="00E4710E">
            <w:pPr>
              <w:rPr>
                <w:sz w:val="20"/>
                <w:szCs w:val="20"/>
              </w:rPr>
            </w:pPr>
            <w:r w:rsidRPr="00C954D0">
              <w:rPr>
                <w:sz w:val="20"/>
                <w:szCs w:val="20"/>
              </w:rPr>
              <w:t>Déshumidificateur thermodynamique pour serres</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C775FBA" w14:textId="6564095D" w:rsidR="00906043" w:rsidRDefault="00906043" w:rsidP="002056F9">
            <w:pPr>
              <w:ind w:left="-85" w:right="-23"/>
              <w:jc w:val="center"/>
              <w:rPr>
                <w:sz w:val="20"/>
                <w:szCs w:val="20"/>
              </w:rPr>
            </w:pPr>
            <w:r>
              <w:rPr>
                <w:sz w:val="20"/>
                <w:szCs w:val="20"/>
              </w:rPr>
              <w:t>AGRI-TH-117</w:t>
            </w:r>
          </w:p>
        </w:tc>
        <w:tc>
          <w:tcPr>
            <w:tcW w:w="5247" w:type="dxa"/>
            <w:tcBorders>
              <w:top w:val="single" w:sz="4" w:space="0" w:color="auto"/>
              <w:left w:val="single" w:sz="4" w:space="0" w:color="auto"/>
              <w:bottom w:val="single" w:sz="4" w:space="0" w:color="auto"/>
              <w:right w:val="single" w:sz="4" w:space="0" w:color="auto"/>
            </w:tcBorders>
            <w:vAlign w:val="center"/>
          </w:tcPr>
          <w:p w14:paraId="4AA0421B" w14:textId="5766F073" w:rsidR="00906043" w:rsidRDefault="00010880" w:rsidP="00010880">
            <w:pPr>
              <w:jc w:val="both"/>
              <w:rPr>
                <w:sz w:val="20"/>
                <w:szCs w:val="20"/>
              </w:rPr>
            </w:pPr>
            <w:r>
              <w:rPr>
                <w:sz w:val="20"/>
                <w:szCs w:val="20"/>
              </w:rPr>
              <w:t>Forfait de CEE actualisé avec m</w:t>
            </w:r>
            <w:r w:rsidRPr="00010880">
              <w:rPr>
                <w:sz w:val="20"/>
                <w:szCs w:val="20"/>
              </w:rPr>
              <w:t xml:space="preserve">ise à jour </w:t>
            </w:r>
            <w:r>
              <w:rPr>
                <w:sz w:val="20"/>
                <w:szCs w:val="20"/>
              </w:rPr>
              <w:t>de la</w:t>
            </w:r>
            <w:r w:rsidRPr="00010880">
              <w:rPr>
                <w:sz w:val="20"/>
                <w:szCs w:val="20"/>
              </w:rPr>
              <w:t xml:space="preserve"> situation de référence et des conditions d'éligibilité</w:t>
            </w:r>
            <w:r>
              <w:rPr>
                <w:sz w:val="20"/>
                <w:szCs w:val="20"/>
              </w:rPr>
              <w:t>.</w:t>
            </w:r>
          </w:p>
        </w:tc>
      </w:tr>
      <w:tr w:rsidR="00010880" w14:paraId="2D2DF5C9"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0793EDC6" w14:textId="388147E1" w:rsidR="00010880" w:rsidRPr="00AB7FA3" w:rsidRDefault="00C954D0" w:rsidP="00010880">
            <w:pPr>
              <w:rPr>
                <w:sz w:val="20"/>
                <w:szCs w:val="20"/>
              </w:rPr>
            </w:pPr>
            <w:r w:rsidRPr="00C954D0">
              <w:rPr>
                <w:sz w:val="20"/>
                <w:szCs w:val="20"/>
              </w:rPr>
              <w:t>Système de déshumidification avec air extérieur</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1157E66" w14:textId="3DF1E440" w:rsidR="00010880" w:rsidRDefault="00010880" w:rsidP="00010880">
            <w:pPr>
              <w:ind w:left="-85" w:right="-23"/>
              <w:jc w:val="center"/>
              <w:rPr>
                <w:sz w:val="20"/>
                <w:szCs w:val="20"/>
              </w:rPr>
            </w:pPr>
            <w:r>
              <w:rPr>
                <w:sz w:val="20"/>
                <w:szCs w:val="20"/>
              </w:rPr>
              <w:t>AGRI-TH-119</w:t>
            </w:r>
          </w:p>
        </w:tc>
        <w:tc>
          <w:tcPr>
            <w:tcW w:w="5247" w:type="dxa"/>
            <w:tcBorders>
              <w:top w:val="single" w:sz="4" w:space="0" w:color="auto"/>
              <w:left w:val="single" w:sz="4" w:space="0" w:color="auto"/>
              <w:bottom w:val="single" w:sz="4" w:space="0" w:color="auto"/>
              <w:right w:val="single" w:sz="4" w:space="0" w:color="auto"/>
            </w:tcBorders>
            <w:vAlign w:val="center"/>
          </w:tcPr>
          <w:p w14:paraId="25675D62" w14:textId="77777777" w:rsidR="00010880" w:rsidRDefault="00010880" w:rsidP="00010880">
            <w:pPr>
              <w:jc w:val="both"/>
              <w:rPr>
                <w:sz w:val="20"/>
                <w:szCs w:val="20"/>
              </w:rPr>
            </w:pPr>
            <w:r>
              <w:rPr>
                <w:sz w:val="20"/>
                <w:szCs w:val="20"/>
              </w:rPr>
              <w:t>Forfait de CEE actualisé avec m</w:t>
            </w:r>
            <w:r w:rsidRPr="00010880">
              <w:rPr>
                <w:sz w:val="20"/>
                <w:szCs w:val="20"/>
              </w:rPr>
              <w:t xml:space="preserve">ise à jour </w:t>
            </w:r>
            <w:r>
              <w:rPr>
                <w:sz w:val="20"/>
                <w:szCs w:val="20"/>
              </w:rPr>
              <w:t>de la</w:t>
            </w:r>
            <w:r w:rsidRPr="00010880">
              <w:rPr>
                <w:sz w:val="20"/>
                <w:szCs w:val="20"/>
              </w:rPr>
              <w:t xml:space="preserve"> situation de référence et des conditions d'éligibilité</w:t>
            </w:r>
            <w:r>
              <w:rPr>
                <w:sz w:val="20"/>
                <w:szCs w:val="20"/>
              </w:rPr>
              <w:t>.</w:t>
            </w:r>
          </w:p>
          <w:p w14:paraId="409EF51B" w14:textId="2F28F1AF" w:rsidR="00010880" w:rsidRDefault="00010880" w:rsidP="00010880">
            <w:pPr>
              <w:jc w:val="both"/>
              <w:rPr>
                <w:sz w:val="20"/>
                <w:szCs w:val="20"/>
              </w:rPr>
            </w:pPr>
            <w:r>
              <w:rPr>
                <w:sz w:val="20"/>
                <w:szCs w:val="20"/>
              </w:rPr>
              <w:t>Ajout d’un critère de puissance.</w:t>
            </w:r>
          </w:p>
        </w:tc>
      </w:tr>
      <w:tr w:rsidR="00010880" w14:paraId="2360DD69"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1ECEEDC2" w14:textId="77777777" w:rsidR="00010880" w:rsidRPr="00FB10A6" w:rsidRDefault="00010880" w:rsidP="00010880">
            <w:pPr>
              <w:rPr>
                <w:sz w:val="20"/>
                <w:szCs w:val="20"/>
              </w:rPr>
            </w:pPr>
            <w:r w:rsidRPr="00AB7FA3">
              <w:rPr>
                <w:sz w:val="20"/>
                <w:szCs w:val="20"/>
              </w:rPr>
              <w:t>Désembouage d'un réseau hydraulique individuel de chauffage en France métropolitaine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383F92E" w14:textId="77777777" w:rsidR="00010880" w:rsidRPr="003E34BF" w:rsidRDefault="00010880" w:rsidP="00010880">
            <w:pPr>
              <w:ind w:left="-85" w:right="-23"/>
              <w:jc w:val="center"/>
              <w:rPr>
                <w:sz w:val="20"/>
                <w:szCs w:val="20"/>
              </w:rPr>
            </w:pPr>
            <w:r>
              <w:rPr>
                <w:sz w:val="20"/>
                <w:szCs w:val="20"/>
              </w:rPr>
              <w:t>BAR-SE-108</w:t>
            </w:r>
          </w:p>
        </w:tc>
        <w:tc>
          <w:tcPr>
            <w:tcW w:w="5247" w:type="dxa"/>
            <w:tcBorders>
              <w:top w:val="single" w:sz="4" w:space="0" w:color="auto"/>
              <w:left w:val="single" w:sz="4" w:space="0" w:color="auto"/>
              <w:bottom w:val="single" w:sz="4" w:space="0" w:color="auto"/>
              <w:right w:val="single" w:sz="4" w:space="0" w:color="auto"/>
            </w:tcBorders>
            <w:vAlign w:val="center"/>
          </w:tcPr>
          <w:p w14:paraId="78FB1B0C" w14:textId="77777777" w:rsidR="00010880" w:rsidRDefault="00010880" w:rsidP="00010880">
            <w:pPr>
              <w:jc w:val="both"/>
              <w:rPr>
                <w:sz w:val="20"/>
                <w:szCs w:val="20"/>
              </w:rPr>
            </w:pPr>
            <w:r>
              <w:rPr>
                <w:sz w:val="20"/>
                <w:szCs w:val="20"/>
              </w:rPr>
              <w:t xml:space="preserve">Révision de l’exigence relative à la qualification du professionnel réalisant les travaux </w:t>
            </w:r>
          </w:p>
          <w:p w14:paraId="5449842F" w14:textId="72569434" w:rsidR="00010880" w:rsidRDefault="00010880" w:rsidP="00010880">
            <w:pPr>
              <w:jc w:val="both"/>
              <w:rPr>
                <w:sz w:val="20"/>
                <w:szCs w:val="20"/>
              </w:rPr>
            </w:pPr>
            <w:r>
              <w:rPr>
                <w:sz w:val="20"/>
                <w:szCs w:val="20"/>
              </w:rPr>
              <w:t>Actualisation du forfait de CEE suite à la révision de la méthode de calcul</w:t>
            </w:r>
          </w:p>
        </w:tc>
      </w:tr>
      <w:tr w:rsidR="00010880" w14:paraId="0E544C07"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561AD2EB" w14:textId="04375B07" w:rsidR="00010880" w:rsidRPr="00FB10A6" w:rsidRDefault="00010880" w:rsidP="00010880">
            <w:pPr>
              <w:rPr>
                <w:sz w:val="20"/>
                <w:szCs w:val="20"/>
              </w:rPr>
            </w:pPr>
            <w:r w:rsidRPr="00E4710E">
              <w:rPr>
                <w:sz w:val="20"/>
                <w:szCs w:val="20"/>
              </w:rPr>
              <w:t>Désembouage d’un réseau hydraulique de chauffage collectif en France métropolitaine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E1A700A" w14:textId="77777777" w:rsidR="00010880" w:rsidRPr="00474C55" w:rsidRDefault="00010880" w:rsidP="00010880">
            <w:pPr>
              <w:ind w:left="-85" w:right="-23"/>
              <w:jc w:val="center"/>
              <w:rPr>
                <w:sz w:val="20"/>
                <w:szCs w:val="20"/>
              </w:rPr>
            </w:pPr>
            <w:r>
              <w:rPr>
                <w:sz w:val="20"/>
                <w:szCs w:val="20"/>
              </w:rPr>
              <w:t>BAR-SE-109</w:t>
            </w:r>
          </w:p>
        </w:tc>
        <w:tc>
          <w:tcPr>
            <w:tcW w:w="5247" w:type="dxa"/>
            <w:tcBorders>
              <w:top w:val="single" w:sz="4" w:space="0" w:color="auto"/>
              <w:left w:val="single" w:sz="4" w:space="0" w:color="auto"/>
              <w:bottom w:val="single" w:sz="4" w:space="0" w:color="auto"/>
              <w:right w:val="single" w:sz="4" w:space="0" w:color="auto"/>
            </w:tcBorders>
            <w:vAlign w:val="center"/>
          </w:tcPr>
          <w:p w14:paraId="37491456" w14:textId="77777777" w:rsidR="00010880" w:rsidRDefault="00010880" w:rsidP="00010880">
            <w:pPr>
              <w:jc w:val="both"/>
              <w:rPr>
                <w:sz w:val="20"/>
                <w:szCs w:val="20"/>
              </w:rPr>
            </w:pPr>
            <w:r>
              <w:rPr>
                <w:sz w:val="20"/>
                <w:szCs w:val="20"/>
              </w:rPr>
              <w:t>Révision de l’exigence relative à la qualification du professionnel réalisant les travaux</w:t>
            </w:r>
          </w:p>
          <w:p w14:paraId="099E05E1" w14:textId="77777777" w:rsidR="00010880" w:rsidRDefault="00010880" w:rsidP="00010880">
            <w:pPr>
              <w:jc w:val="both"/>
              <w:rPr>
                <w:sz w:val="20"/>
                <w:szCs w:val="20"/>
              </w:rPr>
            </w:pPr>
            <w:r>
              <w:rPr>
                <w:sz w:val="20"/>
                <w:szCs w:val="20"/>
              </w:rPr>
              <w:t>Ajout d’une date d’abrogation au 1</w:t>
            </w:r>
            <w:r w:rsidRPr="00187574">
              <w:rPr>
                <w:sz w:val="20"/>
                <w:szCs w:val="20"/>
                <w:vertAlign w:val="superscript"/>
              </w:rPr>
              <w:t>er</w:t>
            </w:r>
            <w:r>
              <w:rPr>
                <w:sz w:val="20"/>
                <w:szCs w:val="20"/>
              </w:rPr>
              <w:t xml:space="preserve"> janvier 2030.  </w:t>
            </w:r>
          </w:p>
        </w:tc>
      </w:tr>
      <w:tr w:rsidR="00A92961" w14:paraId="4C3AD15E"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59A96231" w14:textId="17235946" w:rsidR="00A92961" w:rsidRPr="00E4710E" w:rsidRDefault="00A92961" w:rsidP="00010880">
            <w:pPr>
              <w:rPr>
                <w:sz w:val="20"/>
                <w:szCs w:val="20"/>
              </w:rPr>
            </w:pPr>
            <w:r>
              <w:rPr>
                <w:sz w:val="20"/>
                <w:szCs w:val="20"/>
              </w:rPr>
              <w:t>Isolation des murs</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228E112" w14:textId="2E453F69" w:rsidR="00A92961" w:rsidRDefault="00A92961" w:rsidP="00010880">
            <w:pPr>
              <w:ind w:left="-85" w:right="-23"/>
              <w:jc w:val="center"/>
              <w:rPr>
                <w:sz w:val="20"/>
                <w:szCs w:val="20"/>
              </w:rPr>
            </w:pPr>
            <w:r>
              <w:rPr>
                <w:sz w:val="20"/>
                <w:szCs w:val="20"/>
              </w:rPr>
              <w:t>BAR-EN-102</w:t>
            </w:r>
          </w:p>
        </w:tc>
        <w:tc>
          <w:tcPr>
            <w:tcW w:w="5247" w:type="dxa"/>
            <w:tcBorders>
              <w:top w:val="single" w:sz="4" w:space="0" w:color="auto"/>
              <w:left w:val="single" w:sz="4" w:space="0" w:color="auto"/>
              <w:bottom w:val="single" w:sz="4" w:space="0" w:color="auto"/>
              <w:right w:val="single" w:sz="4" w:space="0" w:color="auto"/>
            </w:tcBorders>
            <w:vAlign w:val="center"/>
          </w:tcPr>
          <w:p w14:paraId="054F3F44" w14:textId="2B9C2D9F" w:rsidR="00A92961" w:rsidRDefault="00A92961" w:rsidP="00A92961">
            <w:pPr>
              <w:jc w:val="both"/>
              <w:rPr>
                <w:sz w:val="20"/>
                <w:szCs w:val="20"/>
              </w:rPr>
            </w:pPr>
            <w:r>
              <w:rPr>
                <w:sz w:val="20"/>
                <w:szCs w:val="20"/>
              </w:rPr>
              <w:t>Correction de l’a</w:t>
            </w:r>
            <w:r w:rsidRPr="00A92961">
              <w:rPr>
                <w:sz w:val="20"/>
                <w:szCs w:val="20"/>
              </w:rPr>
              <w:t>nnexe 1 à la fiche</w:t>
            </w:r>
            <w:r>
              <w:rPr>
                <w:sz w:val="20"/>
                <w:szCs w:val="20"/>
              </w:rPr>
              <w:t xml:space="preserve"> </w:t>
            </w:r>
            <w:r w:rsidRPr="00A92961">
              <w:rPr>
                <w:sz w:val="20"/>
                <w:szCs w:val="20"/>
              </w:rPr>
              <w:t>définissant le contenu de la partie A de l’attestation sur l’honneur.</w:t>
            </w:r>
          </w:p>
        </w:tc>
      </w:tr>
      <w:tr w:rsidR="00010880" w14:paraId="5BC6DBA1"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52F5605D" w14:textId="77777777" w:rsidR="00010880" w:rsidRPr="00FB10A6" w:rsidRDefault="00010880" w:rsidP="00010880">
            <w:pPr>
              <w:jc w:val="both"/>
              <w:rPr>
                <w:sz w:val="20"/>
                <w:szCs w:val="20"/>
              </w:rPr>
            </w:pPr>
            <w:r w:rsidRPr="00E4710E">
              <w:rPr>
                <w:sz w:val="20"/>
                <w:szCs w:val="20"/>
              </w:rPr>
              <w:t>Dispositif solaire thermique (France métropolitaine)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A7EB5FD" w14:textId="77777777" w:rsidR="00010880" w:rsidRPr="00474C55" w:rsidRDefault="00010880" w:rsidP="00010880">
            <w:pPr>
              <w:ind w:left="-85" w:right="-23"/>
              <w:jc w:val="center"/>
              <w:rPr>
                <w:sz w:val="20"/>
                <w:szCs w:val="20"/>
              </w:rPr>
            </w:pPr>
            <w:r>
              <w:rPr>
                <w:sz w:val="20"/>
                <w:szCs w:val="20"/>
              </w:rPr>
              <w:t>BAR-TH-168</w:t>
            </w:r>
          </w:p>
        </w:tc>
        <w:tc>
          <w:tcPr>
            <w:tcW w:w="5247" w:type="dxa"/>
            <w:tcBorders>
              <w:top w:val="single" w:sz="4" w:space="0" w:color="auto"/>
              <w:left w:val="single" w:sz="4" w:space="0" w:color="auto"/>
              <w:bottom w:val="single" w:sz="4" w:space="0" w:color="auto"/>
              <w:right w:val="single" w:sz="4" w:space="0" w:color="auto"/>
            </w:tcBorders>
            <w:vAlign w:val="center"/>
          </w:tcPr>
          <w:p w14:paraId="5A187B75" w14:textId="77777777" w:rsidR="00010880" w:rsidRPr="00187574" w:rsidRDefault="00010880" w:rsidP="00010880">
            <w:pPr>
              <w:jc w:val="both"/>
              <w:rPr>
                <w:sz w:val="20"/>
                <w:szCs w:val="20"/>
              </w:rPr>
            </w:pPr>
            <w:r w:rsidRPr="00187574">
              <w:rPr>
                <w:sz w:val="20"/>
                <w:szCs w:val="20"/>
              </w:rPr>
              <w:t>Actualisation du forfait de CEE.</w:t>
            </w:r>
          </w:p>
          <w:p w14:paraId="78451B75" w14:textId="77777777" w:rsidR="00010880" w:rsidRPr="00187574" w:rsidRDefault="00010880" w:rsidP="00010880">
            <w:pPr>
              <w:jc w:val="both"/>
              <w:rPr>
                <w:sz w:val="20"/>
                <w:szCs w:val="20"/>
              </w:rPr>
            </w:pPr>
            <w:r w:rsidRPr="00187574">
              <w:rPr>
                <w:sz w:val="20"/>
                <w:szCs w:val="20"/>
              </w:rPr>
              <w:t>Précisions sur la description du dispositif solaire thermique.</w:t>
            </w:r>
          </w:p>
          <w:p w14:paraId="0E3B3D2F" w14:textId="77777777" w:rsidR="00010880" w:rsidRPr="00187574" w:rsidRDefault="00010880" w:rsidP="00010880">
            <w:pPr>
              <w:jc w:val="both"/>
              <w:rPr>
                <w:sz w:val="20"/>
                <w:szCs w:val="20"/>
              </w:rPr>
            </w:pPr>
            <w:r w:rsidRPr="00187574">
              <w:rPr>
                <w:sz w:val="20"/>
                <w:szCs w:val="20"/>
              </w:rPr>
              <w:t>Ajout d’une exigence en termes de surface hors-tout totale minimale de capteurs solaires thermiques.</w:t>
            </w:r>
          </w:p>
          <w:p w14:paraId="11A6FA49" w14:textId="77777777" w:rsidR="00010880" w:rsidRPr="00187574" w:rsidRDefault="00010880" w:rsidP="00010880">
            <w:pPr>
              <w:jc w:val="both"/>
              <w:rPr>
                <w:sz w:val="20"/>
                <w:szCs w:val="20"/>
              </w:rPr>
            </w:pPr>
            <w:r w:rsidRPr="00187574">
              <w:rPr>
                <w:sz w:val="20"/>
                <w:szCs w:val="20"/>
              </w:rPr>
              <w:t>Ajout d’une exigence en termes d’efficacité énergétique pour la production de chauffage en référence au règlement écoconception n° 813/2013 et pour le chauffage de l'eau en référence au règlement écoconception n° 814/2013.</w:t>
            </w:r>
          </w:p>
          <w:p w14:paraId="4DDC7D90" w14:textId="77777777" w:rsidR="00010880" w:rsidRPr="00187574" w:rsidRDefault="00010880" w:rsidP="00010880">
            <w:pPr>
              <w:jc w:val="both"/>
              <w:rPr>
                <w:sz w:val="20"/>
                <w:szCs w:val="20"/>
              </w:rPr>
            </w:pPr>
            <w:r w:rsidRPr="00187574">
              <w:rPr>
                <w:sz w:val="20"/>
                <w:szCs w:val="20"/>
              </w:rPr>
              <w:t>Ajout d’une exigence en termes de classe d’efficacité énergétique minimale des ballons d’eau chaude solaires.</w:t>
            </w:r>
          </w:p>
          <w:p w14:paraId="1EC9DC40" w14:textId="77777777" w:rsidR="00010880" w:rsidRPr="00187574" w:rsidRDefault="00010880" w:rsidP="00010880">
            <w:pPr>
              <w:jc w:val="both"/>
              <w:rPr>
                <w:sz w:val="20"/>
                <w:szCs w:val="20"/>
              </w:rPr>
            </w:pPr>
            <w:r w:rsidRPr="00187574">
              <w:rPr>
                <w:sz w:val="20"/>
                <w:szCs w:val="20"/>
              </w:rPr>
              <w:t>Précision concernant le fluide : eau ou eau glycolée.</w:t>
            </w:r>
          </w:p>
          <w:p w14:paraId="41133C0C" w14:textId="77777777" w:rsidR="00010880" w:rsidRPr="00187574" w:rsidRDefault="00010880" w:rsidP="00010880">
            <w:pPr>
              <w:jc w:val="both"/>
              <w:rPr>
                <w:sz w:val="20"/>
                <w:szCs w:val="20"/>
              </w:rPr>
            </w:pPr>
            <w:r w:rsidRPr="00187574">
              <w:rPr>
                <w:sz w:val="20"/>
                <w:szCs w:val="20"/>
              </w:rPr>
              <w:t>Ajout des références normatives concernant la certification CSTBat ou SolarKeymark.</w:t>
            </w:r>
          </w:p>
          <w:p w14:paraId="19F36610" w14:textId="77777777" w:rsidR="00010880" w:rsidRPr="00187574" w:rsidRDefault="00010880" w:rsidP="00010880">
            <w:pPr>
              <w:jc w:val="both"/>
              <w:rPr>
                <w:sz w:val="20"/>
                <w:szCs w:val="20"/>
              </w:rPr>
            </w:pPr>
            <w:r w:rsidRPr="00187574">
              <w:rPr>
                <w:sz w:val="20"/>
                <w:szCs w:val="20"/>
              </w:rPr>
              <w:t>Mise en cohérence des mentions sur la preuve de réalisation et dans l’attestation sur l’honneur.</w:t>
            </w:r>
          </w:p>
          <w:p w14:paraId="299F3527" w14:textId="77777777" w:rsidR="00010880" w:rsidRPr="00EA32E7" w:rsidRDefault="00010880" w:rsidP="00010880">
            <w:pPr>
              <w:jc w:val="both"/>
              <w:rPr>
                <w:sz w:val="20"/>
                <w:szCs w:val="20"/>
              </w:rPr>
            </w:pPr>
            <w:r>
              <w:rPr>
                <w:sz w:val="20"/>
                <w:szCs w:val="20"/>
              </w:rPr>
              <w:t>Ajout d’une date d’abrogation au 1</w:t>
            </w:r>
            <w:r w:rsidRPr="00187574">
              <w:rPr>
                <w:sz w:val="20"/>
                <w:szCs w:val="20"/>
              </w:rPr>
              <w:t>er</w:t>
            </w:r>
            <w:r>
              <w:rPr>
                <w:sz w:val="20"/>
                <w:szCs w:val="20"/>
              </w:rPr>
              <w:t xml:space="preserve"> janvier 2030.  </w:t>
            </w:r>
          </w:p>
        </w:tc>
      </w:tr>
      <w:tr w:rsidR="00010880" w14:paraId="16C2E614"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76E48DBF" w14:textId="77777777" w:rsidR="00010880" w:rsidRPr="00FB10A6" w:rsidRDefault="00010880" w:rsidP="00010880">
            <w:pPr>
              <w:jc w:val="both"/>
              <w:rPr>
                <w:sz w:val="20"/>
                <w:szCs w:val="20"/>
              </w:rPr>
            </w:pPr>
            <w:r w:rsidRPr="00286DC7">
              <w:rPr>
                <w:sz w:val="20"/>
                <w:szCs w:val="20"/>
              </w:rPr>
              <w:t>Pompe à chaleur collective de type air/eau ou eau/eau</w:t>
            </w:r>
            <w:r>
              <w:rPr>
                <w:sz w:val="20"/>
                <w:szCs w:val="20"/>
              </w:rPr>
              <w:t xml:space="preserve"> </w:t>
            </w:r>
            <w:r w:rsidRPr="00286DC7">
              <w:rPr>
                <w:sz w:val="20"/>
                <w:szCs w:val="20"/>
              </w:rPr>
              <w:t>pour l’eau chaude sanitaire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91EC58F" w14:textId="77777777" w:rsidR="00010880" w:rsidRPr="00474C55" w:rsidRDefault="00010880" w:rsidP="00010880">
            <w:pPr>
              <w:ind w:left="-85" w:right="-23"/>
              <w:jc w:val="center"/>
              <w:rPr>
                <w:sz w:val="20"/>
                <w:szCs w:val="20"/>
              </w:rPr>
            </w:pPr>
            <w:r>
              <w:rPr>
                <w:sz w:val="20"/>
                <w:szCs w:val="20"/>
              </w:rPr>
              <w:t>BAR-TH-169</w:t>
            </w:r>
          </w:p>
        </w:tc>
        <w:tc>
          <w:tcPr>
            <w:tcW w:w="5247" w:type="dxa"/>
            <w:tcBorders>
              <w:top w:val="single" w:sz="4" w:space="0" w:color="auto"/>
              <w:left w:val="single" w:sz="4" w:space="0" w:color="auto"/>
              <w:bottom w:val="single" w:sz="4" w:space="0" w:color="auto"/>
              <w:right w:val="single" w:sz="4" w:space="0" w:color="auto"/>
            </w:tcBorders>
            <w:vAlign w:val="center"/>
          </w:tcPr>
          <w:p w14:paraId="6C8DCB73" w14:textId="3611D716" w:rsidR="00010880" w:rsidRPr="00EA32E7" w:rsidRDefault="00010880" w:rsidP="00010880">
            <w:pPr>
              <w:jc w:val="both"/>
              <w:rPr>
                <w:sz w:val="20"/>
                <w:szCs w:val="20"/>
              </w:rPr>
            </w:pPr>
            <w:r>
              <w:rPr>
                <w:sz w:val="20"/>
                <w:szCs w:val="20"/>
              </w:rPr>
              <w:t xml:space="preserve">Actualisation du forfait de CEE en </w:t>
            </w:r>
            <w:r w:rsidR="007C547B">
              <w:rPr>
                <w:sz w:val="20"/>
                <w:szCs w:val="20"/>
              </w:rPr>
              <w:t>« </w:t>
            </w:r>
            <w:r>
              <w:rPr>
                <w:sz w:val="20"/>
                <w:szCs w:val="20"/>
              </w:rPr>
              <w:t>énergie finale intégrale</w:t>
            </w:r>
            <w:r w:rsidR="007C547B">
              <w:rPr>
                <w:sz w:val="20"/>
                <w:szCs w:val="20"/>
              </w:rPr>
              <w:t> »</w:t>
            </w:r>
            <w:r>
              <w:rPr>
                <w:sz w:val="20"/>
                <w:szCs w:val="20"/>
              </w:rPr>
              <w:t xml:space="preserve">. </w:t>
            </w:r>
          </w:p>
        </w:tc>
      </w:tr>
      <w:tr w:rsidR="009275E0" w14:paraId="095ABA55"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39CA72F0" w14:textId="30F2F357" w:rsidR="009275E0" w:rsidRPr="003A31F0" w:rsidRDefault="009275E0" w:rsidP="00010880">
            <w:pPr>
              <w:jc w:val="both"/>
              <w:rPr>
                <w:sz w:val="20"/>
                <w:szCs w:val="20"/>
              </w:rPr>
            </w:pPr>
            <w:r w:rsidRPr="009275E0">
              <w:rPr>
                <w:sz w:val="20"/>
                <w:szCs w:val="20"/>
              </w:rPr>
              <w:t>Dispositif performant d’alimentation sans interruption</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6A8267F" w14:textId="08395D9C" w:rsidR="009275E0" w:rsidRDefault="009275E0" w:rsidP="00010880">
            <w:pPr>
              <w:ind w:left="-85" w:right="-23"/>
              <w:jc w:val="center"/>
              <w:rPr>
                <w:sz w:val="20"/>
                <w:szCs w:val="20"/>
              </w:rPr>
            </w:pPr>
            <w:r>
              <w:rPr>
                <w:sz w:val="20"/>
                <w:szCs w:val="20"/>
              </w:rPr>
              <w:t>BAT-EQ-135</w:t>
            </w:r>
          </w:p>
        </w:tc>
        <w:tc>
          <w:tcPr>
            <w:tcW w:w="5247" w:type="dxa"/>
            <w:tcBorders>
              <w:top w:val="single" w:sz="4" w:space="0" w:color="auto"/>
              <w:left w:val="single" w:sz="4" w:space="0" w:color="auto"/>
              <w:bottom w:val="single" w:sz="4" w:space="0" w:color="auto"/>
              <w:right w:val="single" w:sz="4" w:space="0" w:color="auto"/>
            </w:tcBorders>
            <w:vAlign w:val="center"/>
          </w:tcPr>
          <w:p w14:paraId="3D5EE1E9" w14:textId="77777777" w:rsidR="009275E0" w:rsidRDefault="00B35B22" w:rsidP="00010880">
            <w:pPr>
              <w:jc w:val="both"/>
              <w:rPr>
                <w:sz w:val="20"/>
                <w:szCs w:val="20"/>
              </w:rPr>
            </w:pPr>
            <w:r>
              <w:rPr>
                <w:sz w:val="20"/>
                <w:szCs w:val="20"/>
              </w:rPr>
              <w:t>Suppression de la condition relative au mode « VFI »</w:t>
            </w:r>
          </w:p>
          <w:p w14:paraId="1BD9B0A7" w14:textId="2E87F8A3" w:rsidR="00B35B22" w:rsidRDefault="00B35B22" w:rsidP="00010880">
            <w:pPr>
              <w:jc w:val="both"/>
              <w:rPr>
                <w:sz w:val="20"/>
                <w:szCs w:val="20"/>
              </w:rPr>
            </w:pPr>
            <w:r>
              <w:rPr>
                <w:sz w:val="20"/>
                <w:szCs w:val="20"/>
              </w:rPr>
              <w:t>Précision concernant le rendement applicable.</w:t>
            </w:r>
          </w:p>
        </w:tc>
      </w:tr>
      <w:tr w:rsidR="00623C67" w14:paraId="274A0E20"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6288F57F" w14:textId="2CEA04B6" w:rsidR="00623C67" w:rsidRPr="003A31F0" w:rsidRDefault="00623C67" w:rsidP="00623C67">
            <w:pPr>
              <w:jc w:val="both"/>
              <w:rPr>
                <w:sz w:val="20"/>
                <w:szCs w:val="20"/>
              </w:rPr>
            </w:pPr>
            <w:r w:rsidRPr="00623C67">
              <w:rPr>
                <w:sz w:val="20"/>
                <w:szCs w:val="20"/>
              </w:rPr>
              <w:t>Mise en place d’un système de pompe(s) à chaleur</w:t>
            </w:r>
            <w:r>
              <w:rPr>
                <w:sz w:val="20"/>
                <w:szCs w:val="20"/>
              </w:rPr>
              <w:t xml:space="preserve"> </w:t>
            </w:r>
            <w:r w:rsidRPr="00623C67">
              <w:rPr>
                <w:sz w:val="20"/>
                <w:szCs w:val="20"/>
              </w:rPr>
              <w:t>en rehausse de température de chaleur fatale récupérée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B3EF423" w14:textId="174CA060" w:rsidR="00623C67" w:rsidRDefault="00623C67" w:rsidP="00010880">
            <w:pPr>
              <w:ind w:left="-85" w:right="-23"/>
              <w:jc w:val="center"/>
              <w:rPr>
                <w:sz w:val="20"/>
                <w:szCs w:val="20"/>
              </w:rPr>
            </w:pPr>
            <w:r>
              <w:rPr>
                <w:sz w:val="20"/>
                <w:szCs w:val="20"/>
              </w:rPr>
              <w:t>IND-UT-137</w:t>
            </w:r>
          </w:p>
        </w:tc>
        <w:tc>
          <w:tcPr>
            <w:tcW w:w="5247" w:type="dxa"/>
            <w:tcBorders>
              <w:top w:val="single" w:sz="4" w:space="0" w:color="auto"/>
              <w:left w:val="single" w:sz="4" w:space="0" w:color="auto"/>
              <w:bottom w:val="single" w:sz="4" w:space="0" w:color="auto"/>
              <w:right w:val="single" w:sz="4" w:space="0" w:color="auto"/>
            </w:tcBorders>
            <w:vAlign w:val="center"/>
          </w:tcPr>
          <w:p w14:paraId="7928A4E0" w14:textId="50F494B0" w:rsidR="00623C67" w:rsidRDefault="00623C67" w:rsidP="00010880">
            <w:pPr>
              <w:jc w:val="both"/>
              <w:rPr>
                <w:sz w:val="20"/>
                <w:szCs w:val="20"/>
              </w:rPr>
            </w:pPr>
            <w:r>
              <w:rPr>
                <w:sz w:val="20"/>
                <w:szCs w:val="20"/>
              </w:rPr>
              <w:t>Calcul du forfait de CEE en « énergie finale intégrale »</w:t>
            </w:r>
          </w:p>
        </w:tc>
      </w:tr>
      <w:tr w:rsidR="00010880" w14:paraId="54137AAA"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4E0144F0" w14:textId="49DFBC3E" w:rsidR="00010880" w:rsidRPr="00FB10A6" w:rsidRDefault="004E22EC" w:rsidP="00010880">
            <w:pPr>
              <w:jc w:val="both"/>
              <w:rPr>
                <w:sz w:val="20"/>
                <w:szCs w:val="20"/>
              </w:rPr>
            </w:pPr>
            <w:r w:rsidRPr="004E22EC">
              <w:rPr>
                <w:sz w:val="20"/>
                <w:szCs w:val="20"/>
              </w:rPr>
              <w:t xml:space="preserve">Achat ou location d’un véhicule léger ou véhicule utilitaire léger électrique neuf ou opération de rétrofit électrique d’un véhicule léger ou véhicule utilitaire léger, par une </w:t>
            </w:r>
            <w:r w:rsidRPr="004E22EC">
              <w:rPr>
                <w:sz w:val="20"/>
                <w:szCs w:val="20"/>
              </w:rPr>
              <w:lastRenderedPageBreak/>
              <w:t>collectivité locale ou une autre personne morale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1BE8375" w14:textId="27DC45A0" w:rsidR="00010880" w:rsidRPr="00474C55" w:rsidRDefault="00010880" w:rsidP="00010880">
            <w:pPr>
              <w:ind w:left="-85" w:right="-23"/>
              <w:jc w:val="center"/>
              <w:rPr>
                <w:sz w:val="20"/>
                <w:szCs w:val="20"/>
              </w:rPr>
            </w:pPr>
            <w:r>
              <w:rPr>
                <w:sz w:val="20"/>
                <w:szCs w:val="20"/>
              </w:rPr>
              <w:lastRenderedPageBreak/>
              <w:t>TRA-EQ-114</w:t>
            </w:r>
          </w:p>
        </w:tc>
        <w:tc>
          <w:tcPr>
            <w:tcW w:w="5247" w:type="dxa"/>
            <w:tcBorders>
              <w:top w:val="single" w:sz="4" w:space="0" w:color="auto"/>
              <w:left w:val="single" w:sz="4" w:space="0" w:color="auto"/>
              <w:bottom w:val="single" w:sz="4" w:space="0" w:color="auto"/>
              <w:right w:val="single" w:sz="4" w:space="0" w:color="auto"/>
            </w:tcBorders>
            <w:vAlign w:val="center"/>
          </w:tcPr>
          <w:p w14:paraId="4867C139" w14:textId="2956C617" w:rsidR="00010880" w:rsidRDefault="00010880" w:rsidP="00010880">
            <w:pPr>
              <w:jc w:val="both"/>
              <w:rPr>
                <w:sz w:val="20"/>
                <w:szCs w:val="20"/>
              </w:rPr>
            </w:pPr>
            <w:r>
              <w:rPr>
                <w:sz w:val="20"/>
                <w:szCs w:val="20"/>
              </w:rPr>
              <w:t xml:space="preserve">Changement des conditions d’éligibilité : </w:t>
            </w:r>
          </w:p>
          <w:p w14:paraId="4F6C8717" w14:textId="39683BCC" w:rsidR="00010880" w:rsidRDefault="00DA0E70" w:rsidP="00010880">
            <w:pPr>
              <w:jc w:val="both"/>
              <w:rPr>
                <w:sz w:val="20"/>
                <w:szCs w:val="20"/>
              </w:rPr>
            </w:pPr>
            <w:r>
              <w:rPr>
                <w:sz w:val="20"/>
                <w:szCs w:val="20"/>
              </w:rPr>
              <w:t>La condition de remplacement d’</w:t>
            </w:r>
            <w:r w:rsidR="00010880">
              <w:rPr>
                <w:sz w:val="20"/>
                <w:szCs w:val="20"/>
              </w:rPr>
              <w:t>un véhicule</w:t>
            </w:r>
            <w:r>
              <w:rPr>
                <w:sz w:val="20"/>
                <w:szCs w:val="20"/>
              </w:rPr>
              <w:t xml:space="preserve"> est supprimée</w:t>
            </w:r>
            <w:r w:rsidR="00010880">
              <w:rPr>
                <w:sz w:val="20"/>
                <w:szCs w:val="20"/>
              </w:rPr>
              <w:t xml:space="preserve"> </w:t>
            </w:r>
          </w:p>
          <w:p w14:paraId="11875FF7" w14:textId="60612F47" w:rsidR="00010880" w:rsidRDefault="00DA0E70" w:rsidP="00010880">
            <w:pPr>
              <w:jc w:val="both"/>
              <w:rPr>
                <w:sz w:val="20"/>
                <w:szCs w:val="20"/>
              </w:rPr>
            </w:pPr>
            <w:r>
              <w:rPr>
                <w:sz w:val="20"/>
                <w:szCs w:val="20"/>
              </w:rPr>
              <w:t xml:space="preserve">Les </w:t>
            </w:r>
            <w:r w:rsidR="00010880">
              <w:rPr>
                <w:sz w:val="20"/>
                <w:szCs w:val="20"/>
              </w:rPr>
              <w:t xml:space="preserve">véhicules N1 et M1 </w:t>
            </w:r>
            <w:r>
              <w:rPr>
                <w:sz w:val="20"/>
                <w:szCs w:val="20"/>
              </w:rPr>
              <w:t>sont éligibles</w:t>
            </w:r>
          </w:p>
          <w:p w14:paraId="72F45256" w14:textId="1E8F7B46" w:rsidR="00010880" w:rsidRDefault="00DA0E70" w:rsidP="00010880">
            <w:pPr>
              <w:jc w:val="both"/>
              <w:rPr>
                <w:sz w:val="20"/>
                <w:szCs w:val="20"/>
              </w:rPr>
            </w:pPr>
            <w:r>
              <w:rPr>
                <w:sz w:val="20"/>
                <w:szCs w:val="20"/>
              </w:rPr>
              <w:t>S</w:t>
            </w:r>
            <w:r w:rsidR="00010880">
              <w:rPr>
                <w:sz w:val="20"/>
                <w:szCs w:val="20"/>
              </w:rPr>
              <w:t>euls les véhicu</w:t>
            </w:r>
            <w:r>
              <w:rPr>
                <w:sz w:val="20"/>
                <w:szCs w:val="20"/>
              </w:rPr>
              <w:t>les électriques sont éligibles</w:t>
            </w:r>
          </w:p>
          <w:p w14:paraId="04837738" w14:textId="77777777" w:rsidR="00010880" w:rsidRDefault="00DA0E70" w:rsidP="004E22EC">
            <w:pPr>
              <w:jc w:val="both"/>
              <w:rPr>
                <w:sz w:val="20"/>
                <w:szCs w:val="20"/>
              </w:rPr>
            </w:pPr>
            <w:r>
              <w:rPr>
                <w:sz w:val="20"/>
                <w:szCs w:val="20"/>
              </w:rPr>
              <w:lastRenderedPageBreak/>
              <w:t xml:space="preserve">Les </w:t>
            </w:r>
            <w:r w:rsidR="004E22EC">
              <w:rPr>
                <w:sz w:val="20"/>
                <w:szCs w:val="20"/>
              </w:rPr>
              <w:t xml:space="preserve">bénéficiaires sont les </w:t>
            </w:r>
            <w:r w:rsidR="00010880">
              <w:rPr>
                <w:sz w:val="20"/>
                <w:szCs w:val="20"/>
              </w:rPr>
              <w:t xml:space="preserve">collectivités </w:t>
            </w:r>
            <w:r w:rsidR="004E22EC">
              <w:rPr>
                <w:sz w:val="20"/>
                <w:szCs w:val="20"/>
              </w:rPr>
              <w:t>locales et les autres personnes morales</w:t>
            </w:r>
          </w:p>
          <w:p w14:paraId="24C5D1EF" w14:textId="1899FB46" w:rsidR="007C547B" w:rsidRPr="00EA32E7" w:rsidRDefault="007C547B" w:rsidP="004E22EC">
            <w:pPr>
              <w:jc w:val="both"/>
              <w:rPr>
                <w:sz w:val="20"/>
                <w:szCs w:val="20"/>
              </w:rPr>
            </w:pPr>
            <w:r>
              <w:rPr>
                <w:sz w:val="20"/>
                <w:szCs w:val="20"/>
              </w:rPr>
              <w:t>Calcul du forfait de CEE en « énergie finale intégrale »</w:t>
            </w:r>
          </w:p>
        </w:tc>
      </w:tr>
      <w:tr w:rsidR="00B70881" w14:paraId="5B72F2AF"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0A55B87B" w14:textId="4E9BE6AD" w:rsidR="00B70881" w:rsidRDefault="00C73105" w:rsidP="00B70881">
            <w:pPr>
              <w:jc w:val="both"/>
              <w:rPr>
                <w:sz w:val="20"/>
                <w:szCs w:val="20"/>
              </w:rPr>
            </w:pPr>
            <w:r w:rsidRPr="00C73105">
              <w:rPr>
                <w:sz w:val="20"/>
                <w:szCs w:val="20"/>
              </w:rPr>
              <w:lastRenderedPageBreak/>
              <w:t>Achat ou location d’un véhicule léger ou véhicule utilitaire léger électrique neuf ou opération de rétrofit électrique d’un véhicule léger ou véhicule utilitaire léger, par des particuliers</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5930FAB" w14:textId="2C9F6818" w:rsidR="00B70881" w:rsidRDefault="00B70881" w:rsidP="00B70881">
            <w:pPr>
              <w:ind w:left="-85" w:right="-23"/>
              <w:jc w:val="center"/>
              <w:rPr>
                <w:sz w:val="20"/>
                <w:szCs w:val="20"/>
              </w:rPr>
            </w:pPr>
            <w:r>
              <w:rPr>
                <w:sz w:val="20"/>
                <w:szCs w:val="20"/>
              </w:rPr>
              <w:t>TRA-EQ-117</w:t>
            </w:r>
          </w:p>
        </w:tc>
        <w:tc>
          <w:tcPr>
            <w:tcW w:w="5247" w:type="dxa"/>
            <w:tcBorders>
              <w:top w:val="single" w:sz="4" w:space="0" w:color="auto"/>
              <w:left w:val="single" w:sz="4" w:space="0" w:color="auto"/>
              <w:bottom w:val="single" w:sz="4" w:space="0" w:color="auto"/>
              <w:right w:val="single" w:sz="4" w:space="0" w:color="auto"/>
            </w:tcBorders>
            <w:vAlign w:val="center"/>
          </w:tcPr>
          <w:p w14:paraId="29164E50" w14:textId="77777777" w:rsidR="00B70881" w:rsidRDefault="00B70881" w:rsidP="00B70881">
            <w:pPr>
              <w:jc w:val="both"/>
              <w:rPr>
                <w:sz w:val="20"/>
                <w:szCs w:val="20"/>
              </w:rPr>
            </w:pPr>
            <w:r>
              <w:rPr>
                <w:sz w:val="20"/>
                <w:szCs w:val="20"/>
              </w:rPr>
              <w:t xml:space="preserve">Changement des conditions d’éligibilité : </w:t>
            </w:r>
          </w:p>
          <w:p w14:paraId="57C714D9" w14:textId="77777777" w:rsidR="00B70881" w:rsidRDefault="00B70881" w:rsidP="00B70881">
            <w:pPr>
              <w:jc w:val="both"/>
              <w:rPr>
                <w:sz w:val="20"/>
                <w:szCs w:val="20"/>
              </w:rPr>
            </w:pPr>
            <w:r>
              <w:rPr>
                <w:sz w:val="20"/>
                <w:szCs w:val="20"/>
              </w:rPr>
              <w:t xml:space="preserve">La condition de remplacement d’un véhicule est supprimée </w:t>
            </w:r>
          </w:p>
          <w:p w14:paraId="0B77B51B" w14:textId="77777777" w:rsidR="00B70881" w:rsidRDefault="00B70881" w:rsidP="00B70881">
            <w:pPr>
              <w:jc w:val="both"/>
              <w:rPr>
                <w:sz w:val="20"/>
                <w:szCs w:val="20"/>
              </w:rPr>
            </w:pPr>
            <w:r>
              <w:rPr>
                <w:sz w:val="20"/>
                <w:szCs w:val="20"/>
              </w:rPr>
              <w:t>Les véhicules N1 et M1 sont éligibles</w:t>
            </w:r>
          </w:p>
          <w:p w14:paraId="0A6B9258" w14:textId="77777777" w:rsidR="00B70881" w:rsidRDefault="00B70881" w:rsidP="00B70881">
            <w:pPr>
              <w:jc w:val="both"/>
              <w:rPr>
                <w:sz w:val="20"/>
                <w:szCs w:val="20"/>
              </w:rPr>
            </w:pPr>
            <w:r>
              <w:rPr>
                <w:sz w:val="20"/>
                <w:szCs w:val="20"/>
              </w:rPr>
              <w:t>Seuls les véhicules électriques sont éligibles</w:t>
            </w:r>
          </w:p>
          <w:p w14:paraId="602038E2" w14:textId="77777777" w:rsidR="00B70881" w:rsidRDefault="00B70881" w:rsidP="00B70881">
            <w:pPr>
              <w:jc w:val="both"/>
              <w:rPr>
                <w:sz w:val="20"/>
                <w:szCs w:val="20"/>
              </w:rPr>
            </w:pPr>
            <w:r>
              <w:rPr>
                <w:sz w:val="20"/>
                <w:szCs w:val="20"/>
              </w:rPr>
              <w:t>Les bénéficiaires sont les particuliers (personnes physiques)</w:t>
            </w:r>
          </w:p>
          <w:p w14:paraId="45CCC373" w14:textId="73050EE3" w:rsidR="007C547B" w:rsidRDefault="007C547B" w:rsidP="00B70881">
            <w:pPr>
              <w:jc w:val="both"/>
              <w:rPr>
                <w:sz w:val="20"/>
                <w:szCs w:val="20"/>
              </w:rPr>
            </w:pPr>
            <w:r>
              <w:rPr>
                <w:sz w:val="20"/>
                <w:szCs w:val="20"/>
              </w:rPr>
              <w:t>Calcul du forfait de CEE en « énergie finale intégrale »</w:t>
            </w:r>
          </w:p>
        </w:tc>
      </w:tr>
      <w:tr w:rsidR="00010880" w14:paraId="51FF32A7"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63D51098" w14:textId="25CAB49E" w:rsidR="00010880" w:rsidRDefault="00010880" w:rsidP="00010880">
            <w:pPr>
              <w:jc w:val="both"/>
              <w:rPr>
                <w:sz w:val="20"/>
                <w:szCs w:val="20"/>
              </w:rPr>
            </w:pPr>
            <w:r w:rsidRPr="003A31F0">
              <w:rPr>
                <w:sz w:val="20"/>
                <w:szCs w:val="20"/>
              </w:rPr>
              <w:t>Achat ou location d’un autocar ou d’un autobus électrique neuf ou réalisation d’une opération de rétrofit électrique d’autocar ou d’autobus</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FEA7C12" w14:textId="6C7FD0A3" w:rsidR="00010880" w:rsidRDefault="00010880" w:rsidP="00010880">
            <w:pPr>
              <w:ind w:left="-85" w:right="-23"/>
              <w:jc w:val="center"/>
              <w:rPr>
                <w:sz w:val="20"/>
                <w:szCs w:val="20"/>
              </w:rPr>
            </w:pPr>
            <w:r>
              <w:rPr>
                <w:sz w:val="20"/>
                <w:szCs w:val="20"/>
              </w:rPr>
              <w:t>TRA-EQ-128</w:t>
            </w:r>
          </w:p>
        </w:tc>
        <w:tc>
          <w:tcPr>
            <w:tcW w:w="5247" w:type="dxa"/>
            <w:tcBorders>
              <w:top w:val="single" w:sz="4" w:space="0" w:color="auto"/>
              <w:left w:val="single" w:sz="4" w:space="0" w:color="auto"/>
              <w:bottom w:val="single" w:sz="4" w:space="0" w:color="auto"/>
              <w:right w:val="single" w:sz="4" w:space="0" w:color="auto"/>
            </w:tcBorders>
            <w:vAlign w:val="center"/>
          </w:tcPr>
          <w:p w14:paraId="61A6AB1C" w14:textId="4DC11B59" w:rsidR="00010880" w:rsidRDefault="00010880" w:rsidP="00010880">
            <w:pPr>
              <w:jc w:val="both"/>
              <w:rPr>
                <w:sz w:val="20"/>
                <w:szCs w:val="20"/>
              </w:rPr>
            </w:pPr>
            <w:r>
              <w:rPr>
                <w:sz w:val="20"/>
                <w:szCs w:val="20"/>
              </w:rPr>
              <w:t xml:space="preserve">Actualisation du forfait de CEE en </w:t>
            </w:r>
            <w:r w:rsidR="0050292B">
              <w:rPr>
                <w:sz w:val="20"/>
                <w:szCs w:val="20"/>
              </w:rPr>
              <w:t>« </w:t>
            </w:r>
            <w:r>
              <w:rPr>
                <w:sz w:val="20"/>
                <w:szCs w:val="20"/>
              </w:rPr>
              <w:t>énergie finale intégrale</w:t>
            </w:r>
            <w:r w:rsidR="0050292B">
              <w:rPr>
                <w:sz w:val="20"/>
                <w:szCs w:val="20"/>
              </w:rPr>
              <w:t> »</w:t>
            </w:r>
            <w:r>
              <w:rPr>
                <w:sz w:val="20"/>
                <w:szCs w:val="20"/>
              </w:rPr>
              <w:t>.</w:t>
            </w:r>
          </w:p>
        </w:tc>
      </w:tr>
      <w:tr w:rsidR="00150E76" w14:paraId="3AFA8CEF" w14:textId="77777777" w:rsidTr="00BA21A4">
        <w:trPr>
          <w:trHeight w:val="772"/>
          <w:jc w:val="cent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69316201" w14:textId="4D05F28D" w:rsidR="00150E76" w:rsidRPr="003A31F0" w:rsidRDefault="00150E76" w:rsidP="00010880">
            <w:pPr>
              <w:jc w:val="both"/>
              <w:rPr>
                <w:sz w:val="20"/>
                <w:szCs w:val="20"/>
              </w:rPr>
            </w:pPr>
            <w:r>
              <w:rPr>
                <w:sz w:val="20"/>
                <w:szCs w:val="20"/>
              </w:rPr>
              <w:t>Fret ferroviaire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689B208" w14:textId="06F459AC" w:rsidR="00150E76" w:rsidRDefault="00150E76" w:rsidP="00010880">
            <w:pPr>
              <w:ind w:left="-85" w:right="-23"/>
              <w:jc w:val="center"/>
              <w:rPr>
                <w:sz w:val="20"/>
                <w:szCs w:val="20"/>
              </w:rPr>
            </w:pPr>
            <w:r>
              <w:rPr>
                <w:sz w:val="20"/>
                <w:szCs w:val="20"/>
              </w:rPr>
              <w:t>TRA-SE-116</w:t>
            </w:r>
          </w:p>
        </w:tc>
        <w:tc>
          <w:tcPr>
            <w:tcW w:w="5247" w:type="dxa"/>
            <w:tcBorders>
              <w:top w:val="single" w:sz="4" w:space="0" w:color="auto"/>
              <w:left w:val="single" w:sz="4" w:space="0" w:color="auto"/>
              <w:bottom w:val="single" w:sz="4" w:space="0" w:color="auto"/>
              <w:right w:val="single" w:sz="4" w:space="0" w:color="auto"/>
            </w:tcBorders>
            <w:vAlign w:val="center"/>
          </w:tcPr>
          <w:p w14:paraId="0B7FA571" w14:textId="26542F78" w:rsidR="00150E76" w:rsidRDefault="00150E76" w:rsidP="00010880">
            <w:pPr>
              <w:jc w:val="both"/>
              <w:rPr>
                <w:sz w:val="20"/>
                <w:szCs w:val="20"/>
              </w:rPr>
            </w:pPr>
            <w:r>
              <w:rPr>
                <w:sz w:val="20"/>
                <w:szCs w:val="20"/>
              </w:rPr>
              <w:t>Actualisation du forfait de CEE en « énergie finale intégrale ».</w:t>
            </w:r>
          </w:p>
        </w:tc>
      </w:tr>
    </w:tbl>
    <w:p w14:paraId="01F5A33E" w14:textId="77777777" w:rsidR="009B7215" w:rsidRDefault="009B7215" w:rsidP="00866115">
      <w:pPr>
        <w:pStyle w:val="NormalWeb"/>
        <w:tabs>
          <w:tab w:val="right" w:pos="9637"/>
        </w:tabs>
        <w:spacing w:before="0" w:after="0"/>
        <w:jc w:val="both"/>
        <w:rPr>
          <w:rFonts w:ascii="Times New Roman" w:hAnsi="Times New Roman" w:cs="Times New Roman"/>
          <w:sz w:val="20"/>
          <w:szCs w:val="20"/>
        </w:rPr>
      </w:pPr>
    </w:p>
    <w:p w14:paraId="47843B4B" w14:textId="77777777" w:rsidR="00866115" w:rsidRDefault="00866115" w:rsidP="00866115">
      <w:pPr>
        <w:pStyle w:val="NormalWeb"/>
        <w:tabs>
          <w:tab w:val="right" w:pos="9637"/>
        </w:tabs>
        <w:spacing w:before="0" w:after="0"/>
        <w:jc w:val="both"/>
        <w:rPr>
          <w:rFonts w:ascii="Times New Roman" w:hAnsi="Times New Roman" w:cs="Times New Roman"/>
          <w:sz w:val="20"/>
          <w:szCs w:val="20"/>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733"/>
        <w:gridCol w:w="1559"/>
        <w:gridCol w:w="5292"/>
      </w:tblGrid>
      <w:tr w:rsidR="00AB4DB9" w14:paraId="4CA70DEE" w14:textId="77777777" w:rsidTr="00AB4DB9">
        <w:trPr>
          <w:cantSplit/>
          <w:tblHeader/>
          <w:jc w:val="center"/>
        </w:trPr>
        <w:tc>
          <w:tcPr>
            <w:tcW w:w="10584" w:type="dxa"/>
            <w:gridSpan w:val="3"/>
            <w:shd w:val="clear" w:color="auto" w:fill="auto"/>
          </w:tcPr>
          <w:p w14:paraId="36E387D0" w14:textId="77777777" w:rsidR="00AB4DB9" w:rsidRDefault="00AB4DB9" w:rsidP="006072E1">
            <w:pPr>
              <w:pStyle w:val="Contenudetableau"/>
              <w:keepNext/>
              <w:ind w:left="90" w:hanging="90"/>
              <w:jc w:val="center"/>
              <w:rPr>
                <w:b/>
                <w:bCs/>
                <w:sz w:val="20"/>
                <w:szCs w:val="20"/>
              </w:rPr>
            </w:pPr>
            <w:r>
              <w:rPr>
                <w:b/>
                <w:bCs/>
                <w:sz w:val="20"/>
                <w:szCs w:val="20"/>
              </w:rPr>
              <w:t>Fiches nouvelles</w:t>
            </w:r>
          </w:p>
          <w:p w14:paraId="51DDFFB1" w14:textId="546AB7D6" w:rsidR="00AB4DB9" w:rsidRPr="00AB4DB9" w:rsidRDefault="00AB4DB9" w:rsidP="00A720CB">
            <w:pPr>
              <w:pStyle w:val="Contenudetableau"/>
              <w:keepNext/>
              <w:ind w:left="90" w:hanging="90"/>
              <w:jc w:val="center"/>
              <w:rPr>
                <w:bCs/>
                <w:sz w:val="20"/>
                <w:szCs w:val="20"/>
              </w:rPr>
            </w:pPr>
          </w:p>
        </w:tc>
      </w:tr>
      <w:tr w:rsidR="006072E1" w14:paraId="77EA8039" w14:textId="77777777" w:rsidTr="00AB4DB9">
        <w:trPr>
          <w:cantSplit/>
          <w:trHeight w:val="391"/>
          <w:tblHeader/>
          <w:jc w:val="center"/>
        </w:trPr>
        <w:tc>
          <w:tcPr>
            <w:tcW w:w="3733" w:type="dxa"/>
            <w:shd w:val="clear" w:color="auto" w:fill="auto"/>
            <w:vAlign w:val="center"/>
          </w:tcPr>
          <w:p w14:paraId="3FCE3B21" w14:textId="77777777" w:rsidR="006072E1" w:rsidRDefault="006072E1">
            <w:pPr>
              <w:pStyle w:val="Contenudetableau"/>
              <w:keepNext/>
              <w:jc w:val="center"/>
              <w:rPr>
                <w:b/>
                <w:bCs/>
                <w:sz w:val="20"/>
                <w:szCs w:val="20"/>
              </w:rPr>
            </w:pPr>
            <w:r>
              <w:rPr>
                <w:b/>
                <w:bCs/>
                <w:sz w:val="20"/>
                <w:szCs w:val="20"/>
              </w:rPr>
              <w:t>Intitulé de la fiche</w:t>
            </w:r>
          </w:p>
        </w:tc>
        <w:tc>
          <w:tcPr>
            <w:tcW w:w="1559" w:type="dxa"/>
            <w:shd w:val="clear" w:color="auto" w:fill="auto"/>
            <w:vAlign w:val="center"/>
          </w:tcPr>
          <w:p w14:paraId="65BF2865" w14:textId="77777777" w:rsidR="006072E1" w:rsidRDefault="006072E1">
            <w:pPr>
              <w:pStyle w:val="Contenudetableau"/>
              <w:keepNext/>
              <w:jc w:val="center"/>
              <w:rPr>
                <w:b/>
                <w:bCs/>
                <w:sz w:val="20"/>
                <w:szCs w:val="20"/>
              </w:rPr>
            </w:pPr>
            <w:r>
              <w:rPr>
                <w:b/>
                <w:bCs/>
                <w:sz w:val="20"/>
                <w:szCs w:val="20"/>
              </w:rPr>
              <w:t>N° de référence</w:t>
            </w:r>
          </w:p>
        </w:tc>
        <w:tc>
          <w:tcPr>
            <w:tcW w:w="5292" w:type="dxa"/>
            <w:vAlign w:val="center"/>
          </w:tcPr>
          <w:p w14:paraId="717D8880" w14:textId="77777777" w:rsidR="006072E1" w:rsidRDefault="006072E1" w:rsidP="006072E1">
            <w:pPr>
              <w:pStyle w:val="Contenudetableau"/>
              <w:keepNext/>
              <w:ind w:left="90" w:hanging="90"/>
              <w:jc w:val="center"/>
              <w:rPr>
                <w:b/>
                <w:bCs/>
                <w:sz w:val="20"/>
                <w:szCs w:val="20"/>
              </w:rPr>
            </w:pPr>
            <w:r>
              <w:rPr>
                <w:b/>
                <w:bCs/>
                <w:sz w:val="20"/>
                <w:szCs w:val="20"/>
              </w:rPr>
              <w:t xml:space="preserve">Dénomination de l’opération </w:t>
            </w:r>
          </w:p>
        </w:tc>
      </w:tr>
      <w:tr w:rsidR="006300F4" w14:paraId="74E507A6" w14:textId="77777777" w:rsidTr="00753B6D">
        <w:trPr>
          <w:cantSplit/>
          <w:trHeight w:val="682"/>
          <w:jc w:val="center"/>
        </w:trPr>
        <w:tc>
          <w:tcPr>
            <w:tcW w:w="3733" w:type="dxa"/>
            <w:shd w:val="clear" w:color="auto" w:fill="auto"/>
            <w:vAlign w:val="center"/>
          </w:tcPr>
          <w:p w14:paraId="3548B1CD" w14:textId="7E6BC7F2" w:rsidR="006300F4" w:rsidRDefault="006300F4" w:rsidP="002251C6">
            <w:pPr>
              <w:jc w:val="both"/>
              <w:rPr>
                <w:color w:val="000000"/>
                <w:sz w:val="20"/>
                <w:szCs w:val="20"/>
              </w:rPr>
            </w:pPr>
            <w:r w:rsidRPr="006300F4">
              <w:rPr>
                <w:color w:val="000000"/>
                <w:sz w:val="20"/>
                <w:szCs w:val="20"/>
              </w:rPr>
              <w:t>Double paroi gonflable</w:t>
            </w:r>
          </w:p>
        </w:tc>
        <w:tc>
          <w:tcPr>
            <w:tcW w:w="1559" w:type="dxa"/>
            <w:shd w:val="clear" w:color="auto" w:fill="auto"/>
            <w:vAlign w:val="center"/>
          </w:tcPr>
          <w:p w14:paraId="40D9D92B" w14:textId="404898C5" w:rsidR="006300F4" w:rsidRDefault="006300F4" w:rsidP="002251C6">
            <w:pPr>
              <w:jc w:val="center"/>
              <w:rPr>
                <w:sz w:val="20"/>
                <w:szCs w:val="20"/>
              </w:rPr>
            </w:pPr>
            <w:r>
              <w:rPr>
                <w:sz w:val="20"/>
                <w:szCs w:val="20"/>
              </w:rPr>
              <w:t>AGRI-EQ-112</w:t>
            </w:r>
          </w:p>
        </w:tc>
        <w:tc>
          <w:tcPr>
            <w:tcW w:w="5292" w:type="dxa"/>
            <w:vAlign w:val="center"/>
          </w:tcPr>
          <w:p w14:paraId="006D1C58" w14:textId="15398D99" w:rsidR="006300F4" w:rsidRPr="0057097E" w:rsidRDefault="006300F4" w:rsidP="002251C6">
            <w:pPr>
              <w:jc w:val="both"/>
              <w:rPr>
                <w:sz w:val="20"/>
                <w:szCs w:val="20"/>
              </w:rPr>
            </w:pPr>
            <w:r w:rsidRPr="006300F4">
              <w:rPr>
                <w:sz w:val="20"/>
                <w:szCs w:val="20"/>
              </w:rPr>
              <w:t>Mise en place, au-dessus des cultures d’une serre chauffée, d’une couverture multicouche en plastique avec un système de gonflage</w:t>
            </w:r>
          </w:p>
        </w:tc>
      </w:tr>
      <w:tr w:rsidR="00A30986" w14:paraId="1B40E6F6" w14:textId="77777777" w:rsidTr="00753B6D">
        <w:trPr>
          <w:cantSplit/>
          <w:trHeight w:val="682"/>
          <w:jc w:val="center"/>
        </w:trPr>
        <w:tc>
          <w:tcPr>
            <w:tcW w:w="3733" w:type="dxa"/>
            <w:shd w:val="clear" w:color="auto" w:fill="auto"/>
            <w:vAlign w:val="center"/>
          </w:tcPr>
          <w:p w14:paraId="3012C4F9" w14:textId="40A34248" w:rsidR="00A30986" w:rsidRPr="00E74911" w:rsidRDefault="00A30986" w:rsidP="00A30986">
            <w:pPr>
              <w:jc w:val="both"/>
              <w:rPr>
                <w:color w:val="000000"/>
                <w:sz w:val="20"/>
                <w:szCs w:val="20"/>
              </w:rPr>
            </w:pPr>
            <w:r w:rsidRPr="00A30986">
              <w:rPr>
                <w:color w:val="000000"/>
                <w:sz w:val="20"/>
                <w:szCs w:val="20"/>
              </w:rPr>
              <w:t>Mise en veille automatique d’une machine</w:t>
            </w:r>
            <w:r>
              <w:rPr>
                <w:color w:val="000000"/>
                <w:sz w:val="20"/>
                <w:szCs w:val="20"/>
              </w:rPr>
              <w:t xml:space="preserve"> </w:t>
            </w:r>
            <w:r w:rsidRPr="00A30986">
              <w:rPr>
                <w:color w:val="000000"/>
                <w:sz w:val="20"/>
                <w:szCs w:val="20"/>
              </w:rPr>
              <w:t>utilisant de l’air comprimé</w:t>
            </w:r>
          </w:p>
        </w:tc>
        <w:tc>
          <w:tcPr>
            <w:tcW w:w="1559" w:type="dxa"/>
            <w:shd w:val="clear" w:color="auto" w:fill="auto"/>
            <w:vAlign w:val="center"/>
          </w:tcPr>
          <w:p w14:paraId="5B1B4EEF" w14:textId="733EAA97" w:rsidR="00A30986" w:rsidRDefault="00A30986" w:rsidP="002251C6">
            <w:pPr>
              <w:jc w:val="center"/>
              <w:rPr>
                <w:sz w:val="20"/>
                <w:szCs w:val="20"/>
              </w:rPr>
            </w:pPr>
            <w:r w:rsidRPr="00A30986">
              <w:rPr>
                <w:sz w:val="20"/>
                <w:szCs w:val="20"/>
              </w:rPr>
              <w:t>IND-UT-140</w:t>
            </w:r>
          </w:p>
        </w:tc>
        <w:tc>
          <w:tcPr>
            <w:tcW w:w="5292" w:type="dxa"/>
            <w:vAlign w:val="center"/>
          </w:tcPr>
          <w:p w14:paraId="41B015CB" w14:textId="1BFF6401" w:rsidR="00A30986" w:rsidRPr="00E74911" w:rsidRDefault="00A30986" w:rsidP="002251C6">
            <w:pPr>
              <w:jc w:val="both"/>
              <w:rPr>
                <w:sz w:val="20"/>
                <w:szCs w:val="20"/>
              </w:rPr>
            </w:pPr>
            <w:r w:rsidRPr="00A30986">
              <w:rPr>
                <w:sz w:val="20"/>
                <w:szCs w:val="20"/>
              </w:rPr>
              <w:t>Installation d’un dispositif de mise en veille automatique pour une machine industrielle existante utilisant de l’air comprimé</w:t>
            </w:r>
          </w:p>
        </w:tc>
      </w:tr>
      <w:tr w:rsidR="002251C6" w14:paraId="0B813722" w14:textId="77777777" w:rsidTr="00753B6D">
        <w:trPr>
          <w:cantSplit/>
          <w:trHeight w:val="860"/>
          <w:jc w:val="center"/>
        </w:trPr>
        <w:tc>
          <w:tcPr>
            <w:tcW w:w="3733" w:type="dxa"/>
            <w:shd w:val="clear" w:color="auto" w:fill="auto"/>
            <w:vAlign w:val="center"/>
          </w:tcPr>
          <w:p w14:paraId="72CE7ED1" w14:textId="0D7A9F56" w:rsidR="002251C6" w:rsidRPr="00EB57A0" w:rsidRDefault="00035D79" w:rsidP="002251C6">
            <w:pPr>
              <w:jc w:val="both"/>
              <w:rPr>
                <w:sz w:val="20"/>
                <w:szCs w:val="20"/>
              </w:rPr>
            </w:pPr>
            <w:r w:rsidRPr="00035D79">
              <w:rPr>
                <w:color w:val="000000"/>
                <w:sz w:val="20"/>
                <w:szCs w:val="20"/>
              </w:rPr>
              <w:t>Achat ou location d’un véhicule lourd électrique neuf de transport de marchandises ou issu d’une opération de rétrofit électrique</w:t>
            </w:r>
          </w:p>
        </w:tc>
        <w:tc>
          <w:tcPr>
            <w:tcW w:w="1559" w:type="dxa"/>
            <w:shd w:val="clear" w:color="auto" w:fill="auto"/>
            <w:vAlign w:val="center"/>
          </w:tcPr>
          <w:p w14:paraId="76E40817" w14:textId="625ED4B6" w:rsidR="002251C6" w:rsidRPr="00EB57A0" w:rsidRDefault="002251C6" w:rsidP="002251C6">
            <w:pPr>
              <w:jc w:val="center"/>
              <w:rPr>
                <w:sz w:val="20"/>
                <w:szCs w:val="20"/>
              </w:rPr>
            </w:pPr>
            <w:r>
              <w:rPr>
                <w:sz w:val="20"/>
                <w:szCs w:val="20"/>
              </w:rPr>
              <w:t>TRA-EQ-</w:t>
            </w:r>
            <w:r w:rsidR="00E40AC2">
              <w:rPr>
                <w:sz w:val="20"/>
                <w:szCs w:val="20"/>
              </w:rPr>
              <w:t>1</w:t>
            </w:r>
            <w:r w:rsidR="00F2180D">
              <w:rPr>
                <w:sz w:val="20"/>
                <w:szCs w:val="20"/>
              </w:rPr>
              <w:t>29</w:t>
            </w:r>
          </w:p>
        </w:tc>
        <w:tc>
          <w:tcPr>
            <w:tcW w:w="5292" w:type="dxa"/>
            <w:vAlign w:val="center"/>
          </w:tcPr>
          <w:p w14:paraId="2517576A" w14:textId="70529EC2" w:rsidR="002251C6" w:rsidRPr="00EA32E7" w:rsidRDefault="00035D79" w:rsidP="002251C6">
            <w:pPr>
              <w:jc w:val="both"/>
              <w:rPr>
                <w:sz w:val="20"/>
                <w:szCs w:val="20"/>
              </w:rPr>
            </w:pPr>
            <w:r w:rsidRPr="00035D79">
              <w:rPr>
                <w:sz w:val="20"/>
                <w:szCs w:val="20"/>
              </w:rPr>
              <w:t>Achat ou location d’un véhicule lourd électrique neuf de transport de marchandises ou issu d’une opération de rétrofit électrique.</w:t>
            </w:r>
          </w:p>
        </w:tc>
      </w:tr>
      <w:tr w:rsidR="002251C6" w14:paraId="5C8A8C8F" w14:textId="77777777" w:rsidTr="00753B6D">
        <w:trPr>
          <w:cantSplit/>
          <w:trHeight w:val="860"/>
          <w:jc w:val="center"/>
        </w:trPr>
        <w:tc>
          <w:tcPr>
            <w:tcW w:w="3733" w:type="dxa"/>
            <w:shd w:val="clear" w:color="auto" w:fill="auto"/>
            <w:vAlign w:val="center"/>
          </w:tcPr>
          <w:p w14:paraId="772CBA9C" w14:textId="584BC6AE" w:rsidR="002251C6" w:rsidRPr="00EB57A0" w:rsidRDefault="002251C6" w:rsidP="002251C6">
            <w:pPr>
              <w:jc w:val="both"/>
              <w:rPr>
                <w:sz w:val="20"/>
                <w:szCs w:val="20"/>
              </w:rPr>
            </w:pPr>
            <w:r w:rsidRPr="00DB500E">
              <w:rPr>
                <w:color w:val="000000"/>
                <w:sz w:val="20"/>
                <w:szCs w:val="20"/>
              </w:rPr>
              <w:t>Achat ou location d’un quadricycle électrique léger neuf</w:t>
            </w:r>
          </w:p>
        </w:tc>
        <w:tc>
          <w:tcPr>
            <w:tcW w:w="1559" w:type="dxa"/>
            <w:shd w:val="clear" w:color="auto" w:fill="auto"/>
            <w:vAlign w:val="center"/>
          </w:tcPr>
          <w:p w14:paraId="09FFF9C5" w14:textId="58B05BAA" w:rsidR="002251C6" w:rsidRPr="00EB57A0" w:rsidRDefault="002251C6" w:rsidP="002251C6">
            <w:pPr>
              <w:jc w:val="center"/>
              <w:rPr>
                <w:sz w:val="20"/>
                <w:szCs w:val="20"/>
              </w:rPr>
            </w:pPr>
            <w:r>
              <w:rPr>
                <w:sz w:val="20"/>
                <w:szCs w:val="20"/>
              </w:rPr>
              <w:t>TRA-EQ-</w:t>
            </w:r>
            <w:r w:rsidR="00E40AC2">
              <w:rPr>
                <w:sz w:val="20"/>
                <w:szCs w:val="20"/>
              </w:rPr>
              <w:t>13</w:t>
            </w:r>
            <w:r w:rsidR="00F2180D">
              <w:rPr>
                <w:sz w:val="20"/>
                <w:szCs w:val="20"/>
              </w:rPr>
              <w:t>0</w:t>
            </w:r>
          </w:p>
        </w:tc>
        <w:tc>
          <w:tcPr>
            <w:tcW w:w="5292" w:type="dxa"/>
            <w:vAlign w:val="center"/>
          </w:tcPr>
          <w:p w14:paraId="3C1DC139" w14:textId="401E3B99" w:rsidR="002251C6" w:rsidRPr="00EA32E7" w:rsidRDefault="002251C6" w:rsidP="002251C6">
            <w:pPr>
              <w:jc w:val="both"/>
              <w:rPr>
                <w:sz w:val="20"/>
                <w:szCs w:val="20"/>
              </w:rPr>
            </w:pPr>
            <w:r w:rsidRPr="00032E65">
              <w:rPr>
                <w:sz w:val="20"/>
                <w:szCs w:val="20"/>
              </w:rPr>
              <w:t>Achat ou location d’un quadricycle électrique léger.  </w:t>
            </w:r>
          </w:p>
        </w:tc>
      </w:tr>
      <w:tr w:rsidR="002251C6" w14:paraId="4D631150" w14:textId="77777777" w:rsidTr="00753B6D">
        <w:trPr>
          <w:cantSplit/>
          <w:trHeight w:val="860"/>
          <w:jc w:val="center"/>
        </w:trPr>
        <w:tc>
          <w:tcPr>
            <w:tcW w:w="3733" w:type="dxa"/>
            <w:shd w:val="clear" w:color="auto" w:fill="auto"/>
            <w:vAlign w:val="center"/>
          </w:tcPr>
          <w:p w14:paraId="4A3F3685" w14:textId="6EA96473" w:rsidR="002251C6" w:rsidRPr="00EB57A0" w:rsidRDefault="00191F6B" w:rsidP="00191F6B">
            <w:pPr>
              <w:jc w:val="both"/>
              <w:rPr>
                <w:sz w:val="20"/>
                <w:szCs w:val="20"/>
              </w:rPr>
            </w:pPr>
            <w:r w:rsidRPr="00191F6B">
              <w:rPr>
                <w:sz w:val="20"/>
                <w:szCs w:val="20"/>
              </w:rPr>
              <w:t>Achat ou location, par une personne morale,</w:t>
            </w:r>
            <w:r>
              <w:rPr>
                <w:sz w:val="20"/>
                <w:szCs w:val="20"/>
              </w:rPr>
              <w:t xml:space="preserve"> </w:t>
            </w:r>
            <w:r w:rsidRPr="00191F6B">
              <w:rPr>
                <w:sz w:val="20"/>
                <w:szCs w:val="20"/>
              </w:rPr>
              <w:t>de vélos-cargos neufs ou reconditionnés</w:t>
            </w:r>
          </w:p>
        </w:tc>
        <w:tc>
          <w:tcPr>
            <w:tcW w:w="1559" w:type="dxa"/>
            <w:shd w:val="clear" w:color="auto" w:fill="auto"/>
            <w:vAlign w:val="center"/>
          </w:tcPr>
          <w:p w14:paraId="761B6DB8" w14:textId="66D3ED8A" w:rsidR="002251C6" w:rsidRPr="00EB57A0" w:rsidRDefault="002251C6" w:rsidP="002251C6">
            <w:pPr>
              <w:jc w:val="center"/>
              <w:rPr>
                <w:sz w:val="20"/>
                <w:szCs w:val="20"/>
              </w:rPr>
            </w:pPr>
            <w:r>
              <w:rPr>
                <w:sz w:val="20"/>
                <w:szCs w:val="20"/>
              </w:rPr>
              <w:t>TRA-EQ-</w:t>
            </w:r>
            <w:r w:rsidR="00E40AC2">
              <w:rPr>
                <w:sz w:val="20"/>
                <w:szCs w:val="20"/>
              </w:rPr>
              <w:t>13</w:t>
            </w:r>
            <w:r w:rsidR="00F2180D">
              <w:rPr>
                <w:sz w:val="20"/>
                <w:szCs w:val="20"/>
              </w:rPr>
              <w:t>1</w:t>
            </w:r>
          </w:p>
        </w:tc>
        <w:tc>
          <w:tcPr>
            <w:tcW w:w="5292" w:type="dxa"/>
            <w:vAlign w:val="center"/>
          </w:tcPr>
          <w:p w14:paraId="154D3125" w14:textId="4829E9A2" w:rsidR="002251C6" w:rsidRPr="00EA32E7" w:rsidRDefault="00191F6B" w:rsidP="002251C6">
            <w:pPr>
              <w:jc w:val="both"/>
              <w:rPr>
                <w:sz w:val="20"/>
                <w:szCs w:val="20"/>
              </w:rPr>
            </w:pPr>
            <w:r w:rsidRPr="00191F6B">
              <w:rPr>
                <w:sz w:val="20"/>
                <w:szCs w:val="20"/>
              </w:rPr>
              <w:t>Acquisition ou location longue durée, par une personne morale, d’un vélo-cargo (encore dénommé car</w:t>
            </w:r>
            <w:r w:rsidR="002F45F2">
              <w:rPr>
                <w:sz w:val="20"/>
                <w:szCs w:val="20"/>
              </w:rPr>
              <w:t>go-cycle) neuf ou reconditionné</w:t>
            </w:r>
          </w:p>
        </w:tc>
      </w:tr>
      <w:tr w:rsidR="001B0786" w14:paraId="001C08FF" w14:textId="77777777" w:rsidTr="00753B6D">
        <w:trPr>
          <w:cantSplit/>
          <w:trHeight w:val="860"/>
          <w:jc w:val="center"/>
        </w:trPr>
        <w:tc>
          <w:tcPr>
            <w:tcW w:w="3733" w:type="dxa"/>
            <w:shd w:val="clear" w:color="auto" w:fill="auto"/>
            <w:vAlign w:val="center"/>
          </w:tcPr>
          <w:p w14:paraId="6C9BFEBB" w14:textId="163847B1" w:rsidR="001B0786" w:rsidRPr="00DF406F" w:rsidRDefault="001B0786" w:rsidP="001B0786">
            <w:pPr>
              <w:jc w:val="both"/>
              <w:rPr>
                <w:sz w:val="20"/>
                <w:szCs w:val="20"/>
              </w:rPr>
            </w:pPr>
            <w:r w:rsidRPr="00E74911">
              <w:rPr>
                <w:color w:val="000000"/>
                <w:sz w:val="20"/>
                <w:szCs w:val="20"/>
              </w:rPr>
              <w:t>Appareil de mesure, d’analyse et d’optimisation</w:t>
            </w:r>
            <w:r>
              <w:rPr>
                <w:color w:val="000000"/>
                <w:sz w:val="20"/>
                <w:szCs w:val="20"/>
              </w:rPr>
              <w:t xml:space="preserve"> </w:t>
            </w:r>
            <w:r w:rsidRPr="00E74911">
              <w:rPr>
                <w:color w:val="000000"/>
                <w:sz w:val="20"/>
                <w:szCs w:val="20"/>
              </w:rPr>
              <w:t>de la consommation de carburant d’un navire de pêche</w:t>
            </w:r>
          </w:p>
        </w:tc>
        <w:tc>
          <w:tcPr>
            <w:tcW w:w="1559" w:type="dxa"/>
            <w:shd w:val="clear" w:color="auto" w:fill="auto"/>
            <w:vAlign w:val="center"/>
          </w:tcPr>
          <w:p w14:paraId="37882F84" w14:textId="08230D2C" w:rsidR="001B0786" w:rsidRDefault="001B0786" w:rsidP="001B0786">
            <w:pPr>
              <w:jc w:val="center"/>
              <w:rPr>
                <w:sz w:val="20"/>
                <w:szCs w:val="20"/>
              </w:rPr>
            </w:pPr>
            <w:r>
              <w:rPr>
                <w:sz w:val="20"/>
                <w:szCs w:val="20"/>
              </w:rPr>
              <w:t>TRA-EQ-132</w:t>
            </w:r>
          </w:p>
        </w:tc>
        <w:tc>
          <w:tcPr>
            <w:tcW w:w="5292" w:type="dxa"/>
            <w:vAlign w:val="center"/>
          </w:tcPr>
          <w:p w14:paraId="7E939DDC" w14:textId="43BD097B" w:rsidR="001B0786" w:rsidRPr="00DF406F" w:rsidRDefault="001B0786" w:rsidP="001B0786">
            <w:pPr>
              <w:jc w:val="both"/>
              <w:rPr>
                <w:sz w:val="20"/>
                <w:szCs w:val="20"/>
              </w:rPr>
            </w:pPr>
            <w:r w:rsidRPr="00E74911">
              <w:rPr>
                <w:sz w:val="20"/>
                <w:szCs w:val="20"/>
              </w:rPr>
              <w:t>Installation à bord d’un navire de pêche ou d’un navire-école d’un appareil de mesure, d’analyse et d’optimisation de la consommation de carburant.</w:t>
            </w:r>
          </w:p>
        </w:tc>
      </w:tr>
      <w:tr w:rsidR="00C03D4A" w14:paraId="0B1117B9" w14:textId="77777777" w:rsidTr="00753B6D">
        <w:trPr>
          <w:cantSplit/>
          <w:trHeight w:val="860"/>
          <w:jc w:val="center"/>
        </w:trPr>
        <w:tc>
          <w:tcPr>
            <w:tcW w:w="3733" w:type="dxa"/>
            <w:shd w:val="clear" w:color="auto" w:fill="auto"/>
            <w:vAlign w:val="center"/>
          </w:tcPr>
          <w:p w14:paraId="67FB63FB" w14:textId="2E885C6B" w:rsidR="00C03D4A" w:rsidRPr="00E74911" w:rsidRDefault="00C03D4A" w:rsidP="001B0786">
            <w:pPr>
              <w:jc w:val="both"/>
              <w:rPr>
                <w:color w:val="000000"/>
                <w:sz w:val="20"/>
                <w:szCs w:val="20"/>
              </w:rPr>
            </w:pPr>
            <w:r>
              <w:rPr>
                <w:color w:val="000000"/>
                <w:sz w:val="20"/>
                <w:szCs w:val="20"/>
              </w:rPr>
              <w:t>Fret fluvial</w:t>
            </w:r>
          </w:p>
        </w:tc>
        <w:tc>
          <w:tcPr>
            <w:tcW w:w="1559" w:type="dxa"/>
            <w:shd w:val="clear" w:color="auto" w:fill="auto"/>
            <w:vAlign w:val="center"/>
          </w:tcPr>
          <w:p w14:paraId="32377D02" w14:textId="6CB34D6A" w:rsidR="00C03D4A" w:rsidRDefault="00C03D4A" w:rsidP="001B0786">
            <w:pPr>
              <w:jc w:val="center"/>
              <w:rPr>
                <w:sz w:val="20"/>
                <w:szCs w:val="20"/>
              </w:rPr>
            </w:pPr>
            <w:r>
              <w:rPr>
                <w:sz w:val="20"/>
                <w:szCs w:val="20"/>
              </w:rPr>
              <w:t>TRA-SE-117</w:t>
            </w:r>
          </w:p>
        </w:tc>
        <w:tc>
          <w:tcPr>
            <w:tcW w:w="5292" w:type="dxa"/>
            <w:vAlign w:val="center"/>
          </w:tcPr>
          <w:p w14:paraId="15C393FD" w14:textId="3E06F847" w:rsidR="00C03D4A" w:rsidRPr="00E74911" w:rsidRDefault="00C03D4A" w:rsidP="001B0786">
            <w:pPr>
              <w:jc w:val="both"/>
              <w:rPr>
                <w:sz w:val="20"/>
                <w:szCs w:val="20"/>
              </w:rPr>
            </w:pPr>
            <w:r w:rsidRPr="00C03D4A">
              <w:rPr>
                <w:sz w:val="20"/>
                <w:szCs w:val="20"/>
              </w:rPr>
              <w:t>Mise en place d’un contrat de prestation de service de fret fluvial concernant des marchandises qui étaient précédemment transportées par voie routière ou qui ont une al</w:t>
            </w:r>
            <w:r w:rsidR="007177EA">
              <w:rPr>
                <w:sz w:val="20"/>
                <w:szCs w:val="20"/>
              </w:rPr>
              <w:t>ternative routière de transport</w:t>
            </w:r>
          </w:p>
        </w:tc>
      </w:tr>
    </w:tbl>
    <w:p w14:paraId="4E91CCB8" w14:textId="77777777" w:rsidR="006072E1" w:rsidRDefault="006072E1" w:rsidP="00BB2065">
      <w:pPr>
        <w:rPr>
          <w:sz w:val="22"/>
          <w:szCs w:val="22"/>
        </w:rPr>
      </w:pPr>
    </w:p>
    <w:p w14:paraId="4A677D85" w14:textId="77777777" w:rsidR="00866115" w:rsidRDefault="00866115" w:rsidP="00BB2065">
      <w:pPr>
        <w:rPr>
          <w:sz w:val="22"/>
          <w:szCs w:val="22"/>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733"/>
        <w:gridCol w:w="1559"/>
        <w:gridCol w:w="5292"/>
      </w:tblGrid>
      <w:tr w:rsidR="00866115" w14:paraId="529D5BD0" w14:textId="77777777" w:rsidTr="001B2E6A">
        <w:trPr>
          <w:cantSplit/>
          <w:tblHeader/>
          <w:jc w:val="center"/>
        </w:trPr>
        <w:tc>
          <w:tcPr>
            <w:tcW w:w="10584" w:type="dxa"/>
            <w:gridSpan w:val="3"/>
            <w:shd w:val="clear" w:color="auto" w:fill="auto"/>
          </w:tcPr>
          <w:p w14:paraId="7F4734E6" w14:textId="77777777" w:rsidR="00866115" w:rsidRDefault="00CA7910" w:rsidP="001B2E6A">
            <w:pPr>
              <w:pStyle w:val="Contenudetableau"/>
              <w:keepNext/>
              <w:ind w:left="90" w:hanging="90"/>
              <w:jc w:val="center"/>
              <w:rPr>
                <w:b/>
                <w:bCs/>
                <w:sz w:val="20"/>
                <w:szCs w:val="20"/>
              </w:rPr>
            </w:pPr>
            <w:r>
              <w:rPr>
                <w:b/>
                <w:bCs/>
                <w:sz w:val="20"/>
                <w:szCs w:val="20"/>
              </w:rPr>
              <w:lastRenderedPageBreak/>
              <w:t>Fiche</w:t>
            </w:r>
            <w:r w:rsidR="00A720CB">
              <w:rPr>
                <w:b/>
                <w:bCs/>
                <w:sz w:val="20"/>
                <w:szCs w:val="20"/>
              </w:rPr>
              <w:t>s</w:t>
            </w:r>
            <w:r w:rsidR="00866115">
              <w:rPr>
                <w:b/>
                <w:bCs/>
                <w:sz w:val="20"/>
                <w:szCs w:val="20"/>
              </w:rPr>
              <w:t xml:space="preserve"> </w:t>
            </w:r>
            <w:r>
              <w:rPr>
                <w:b/>
                <w:bCs/>
                <w:sz w:val="20"/>
                <w:szCs w:val="20"/>
              </w:rPr>
              <w:t>supprimée</w:t>
            </w:r>
            <w:r w:rsidR="00A720CB">
              <w:rPr>
                <w:b/>
                <w:bCs/>
                <w:sz w:val="20"/>
                <w:szCs w:val="20"/>
              </w:rPr>
              <w:t>s</w:t>
            </w:r>
          </w:p>
          <w:p w14:paraId="69C556BC" w14:textId="77777777" w:rsidR="00866115" w:rsidRPr="00AB4DB9" w:rsidRDefault="00866115" w:rsidP="00AB7FA3">
            <w:pPr>
              <w:pStyle w:val="Contenudetableau"/>
              <w:keepNext/>
              <w:ind w:left="90" w:hanging="90"/>
              <w:jc w:val="center"/>
              <w:rPr>
                <w:bCs/>
                <w:sz w:val="20"/>
                <w:szCs w:val="20"/>
              </w:rPr>
            </w:pPr>
            <w:r w:rsidRPr="00AB4DB9">
              <w:rPr>
                <w:bCs/>
                <w:sz w:val="20"/>
                <w:szCs w:val="20"/>
              </w:rPr>
              <w:t>(</w:t>
            </w:r>
            <w:r w:rsidR="00A720CB">
              <w:rPr>
                <w:sz w:val="20"/>
                <w:szCs w:val="20"/>
              </w:rPr>
              <w:t>les</w:t>
            </w:r>
            <w:r w:rsidR="00297931">
              <w:rPr>
                <w:sz w:val="20"/>
                <w:szCs w:val="20"/>
              </w:rPr>
              <w:t xml:space="preserve"> fiche</w:t>
            </w:r>
            <w:r w:rsidR="00A720CB">
              <w:rPr>
                <w:sz w:val="20"/>
                <w:szCs w:val="20"/>
              </w:rPr>
              <w:t>s</w:t>
            </w:r>
            <w:r w:rsidR="00297931">
              <w:rPr>
                <w:sz w:val="20"/>
                <w:szCs w:val="20"/>
              </w:rPr>
              <w:t xml:space="preserve"> </w:t>
            </w:r>
            <w:r w:rsidR="00A720CB">
              <w:rPr>
                <w:sz w:val="20"/>
                <w:szCs w:val="20"/>
              </w:rPr>
              <w:t>suivantes sont supprimées</w:t>
            </w:r>
            <w:r w:rsidR="00297931">
              <w:rPr>
                <w:sz w:val="20"/>
                <w:szCs w:val="20"/>
              </w:rPr>
              <w:t xml:space="preserve"> supprimée à compter du </w:t>
            </w:r>
            <w:r w:rsidR="00AB7FA3">
              <w:rPr>
                <w:sz w:val="20"/>
                <w:szCs w:val="20"/>
              </w:rPr>
              <w:t>01/01/2025</w:t>
            </w:r>
            <w:r>
              <w:rPr>
                <w:sz w:val="20"/>
                <w:szCs w:val="20"/>
              </w:rPr>
              <w:t>)</w:t>
            </w:r>
          </w:p>
        </w:tc>
      </w:tr>
      <w:tr w:rsidR="00866115" w14:paraId="658FBCD1" w14:textId="77777777" w:rsidTr="001B2E6A">
        <w:trPr>
          <w:cantSplit/>
          <w:trHeight w:val="391"/>
          <w:tblHeader/>
          <w:jc w:val="center"/>
        </w:trPr>
        <w:tc>
          <w:tcPr>
            <w:tcW w:w="3733" w:type="dxa"/>
            <w:shd w:val="clear" w:color="auto" w:fill="auto"/>
            <w:vAlign w:val="center"/>
          </w:tcPr>
          <w:p w14:paraId="79D81B84" w14:textId="77777777" w:rsidR="00866115" w:rsidRDefault="00866115" w:rsidP="001B2E6A">
            <w:pPr>
              <w:pStyle w:val="Contenudetableau"/>
              <w:keepNext/>
              <w:jc w:val="center"/>
              <w:rPr>
                <w:b/>
                <w:bCs/>
                <w:sz w:val="20"/>
                <w:szCs w:val="20"/>
              </w:rPr>
            </w:pPr>
            <w:r>
              <w:rPr>
                <w:b/>
                <w:bCs/>
                <w:sz w:val="20"/>
                <w:szCs w:val="20"/>
              </w:rPr>
              <w:t>Intitulé de la fiche</w:t>
            </w:r>
          </w:p>
        </w:tc>
        <w:tc>
          <w:tcPr>
            <w:tcW w:w="1559" w:type="dxa"/>
            <w:shd w:val="clear" w:color="auto" w:fill="auto"/>
            <w:vAlign w:val="center"/>
          </w:tcPr>
          <w:p w14:paraId="72A498CD" w14:textId="77777777" w:rsidR="00866115" w:rsidRDefault="00866115" w:rsidP="001B2E6A">
            <w:pPr>
              <w:pStyle w:val="Contenudetableau"/>
              <w:keepNext/>
              <w:jc w:val="center"/>
              <w:rPr>
                <w:b/>
                <w:bCs/>
                <w:sz w:val="20"/>
                <w:szCs w:val="20"/>
              </w:rPr>
            </w:pPr>
            <w:r>
              <w:rPr>
                <w:b/>
                <w:bCs/>
                <w:sz w:val="20"/>
                <w:szCs w:val="20"/>
              </w:rPr>
              <w:t>N° de référence</w:t>
            </w:r>
          </w:p>
        </w:tc>
        <w:tc>
          <w:tcPr>
            <w:tcW w:w="5292" w:type="dxa"/>
            <w:vAlign w:val="center"/>
          </w:tcPr>
          <w:p w14:paraId="2F86E86F" w14:textId="77777777" w:rsidR="00866115" w:rsidRDefault="00866115" w:rsidP="001B2E6A">
            <w:pPr>
              <w:pStyle w:val="Contenudetableau"/>
              <w:keepNext/>
              <w:ind w:left="90" w:hanging="90"/>
              <w:jc w:val="center"/>
              <w:rPr>
                <w:b/>
                <w:bCs/>
                <w:sz w:val="20"/>
                <w:szCs w:val="20"/>
              </w:rPr>
            </w:pPr>
            <w:r>
              <w:rPr>
                <w:b/>
                <w:bCs/>
                <w:sz w:val="20"/>
                <w:szCs w:val="20"/>
              </w:rPr>
              <w:t xml:space="preserve">Dénomination de l’opération </w:t>
            </w:r>
          </w:p>
        </w:tc>
      </w:tr>
      <w:tr w:rsidR="00925517" w14:paraId="634DE8D3" w14:textId="77777777" w:rsidTr="00D50704">
        <w:trPr>
          <w:cantSplit/>
          <w:trHeight w:val="591"/>
          <w:jc w:val="center"/>
        </w:trPr>
        <w:tc>
          <w:tcPr>
            <w:tcW w:w="3733" w:type="dxa"/>
            <w:shd w:val="clear" w:color="auto" w:fill="auto"/>
            <w:vAlign w:val="center"/>
          </w:tcPr>
          <w:p w14:paraId="564B9D9A" w14:textId="77777777" w:rsidR="00925517" w:rsidRPr="002C3E36" w:rsidRDefault="00AB7FA3" w:rsidP="00E4710E">
            <w:pPr>
              <w:rPr>
                <w:sz w:val="20"/>
                <w:szCs w:val="20"/>
              </w:rPr>
            </w:pPr>
            <w:r w:rsidRPr="00AB7FA3">
              <w:rPr>
                <w:sz w:val="20"/>
                <w:szCs w:val="20"/>
              </w:rPr>
              <w:t>Chaudière collective haute performance énergétique</w:t>
            </w:r>
          </w:p>
        </w:tc>
        <w:tc>
          <w:tcPr>
            <w:tcW w:w="1559" w:type="dxa"/>
            <w:shd w:val="clear" w:color="auto" w:fill="auto"/>
            <w:vAlign w:val="center"/>
          </w:tcPr>
          <w:p w14:paraId="2DEA0A91" w14:textId="77777777" w:rsidR="00925517" w:rsidRDefault="00AB7FA3" w:rsidP="001B2E6A">
            <w:pPr>
              <w:jc w:val="center"/>
              <w:rPr>
                <w:sz w:val="20"/>
                <w:szCs w:val="20"/>
              </w:rPr>
            </w:pPr>
            <w:r>
              <w:rPr>
                <w:sz w:val="20"/>
                <w:szCs w:val="20"/>
              </w:rPr>
              <w:t>BAR-TH-107</w:t>
            </w:r>
          </w:p>
        </w:tc>
        <w:tc>
          <w:tcPr>
            <w:tcW w:w="5292" w:type="dxa"/>
            <w:vAlign w:val="center"/>
          </w:tcPr>
          <w:p w14:paraId="06A42C8E" w14:textId="36E6D6EF" w:rsidR="00925517" w:rsidRPr="002C3E36" w:rsidRDefault="00AB7FA3" w:rsidP="00AB7FA3">
            <w:pPr>
              <w:jc w:val="both"/>
              <w:rPr>
                <w:sz w:val="20"/>
                <w:szCs w:val="20"/>
              </w:rPr>
            </w:pPr>
            <w:r>
              <w:rPr>
                <w:sz w:val="20"/>
                <w:szCs w:val="20"/>
              </w:rPr>
              <w:t>A</w:t>
            </w:r>
            <w:r w:rsidRPr="00AB7FA3">
              <w:rPr>
                <w:sz w:val="20"/>
                <w:szCs w:val="20"/>
              </w:rPr>
              <w:t>brogation en application d</w:t>
            </w:r>
            <w:r w:rsidR="002079C6">
              <w:rPr>
                <w:sz w:val="20"/>
                <w:szCs w:val="20"/>
              </w:rPr>
              <w:t>u cadre européen</w:t>
            </w:r>
          </w:p>
        </w:tc>
      </w:tr>
      <w:tr w:rsidR="00AB7FA3" w14:paraId="10029AA8" w14:textId="77777777" w:rsidTr="00D50704">
        <w:trPr>
          <w:cantSplit/>
          <w:trHeight w:val="591"/>
          <w:jc w:val="center"/>
        </w:trPr>
        <w:tc>
          <w:tcPr>
            <w:tcW w:w="3733" w:type="dxa"/>
            <w:shd w:val="clear" w:color="auto" w:fill="auto"/>
            <w:vAlign w:val="center"/>
          </w:tcPr>
          <w:p w14:paraId="3EE9CB0F" w14:textId="77777777" w:rsidR="00AB7FA3" w:rsidRPr="002C3E36" w:rsidRDefault="00AB7FA3" w:rsidP="00E4710E">
            <w:pPr>
              <w:rPr>
                <w:sz w:val="20"/>
                <w:szCs w:val="20"/>
              </w:rPr>
            </w:pPr>
            <w:r w:rsidRPr="00AB7FA3">
              <w:rPr>
                <w:sz w:val="20"/>
                <w:szCs w:val="20"/>
              </w:rPr>
              <w:t>Chaudière collective haute performance énergétique avec contrat assurant la conduite de l'installation</w:t>
            </w:r>
          </w:p>
        </w:tc>
        <w:tc>
          <w:tcPr>
            <w:tcW w:w="1559" w:type="dxa"/>
            <w:shd w:val="clear" w:color="auto" w:fill="auto"/>
            <w:vAlign w:val="center"/>
          </w:tcPr>
          <w:p w14:paraId="2A1FC136" w14:textId="77777777" w:rsidR="00AB7FA3" w:rsidRDefault="00AB7FA3" w:rsidP="00AB7FA3">
            <w:pPr>
              <w:jc w:val="center"/>
              <w:rPr>
                <w:sz w:val="20"/>
                <w:szCs w:val="20"/>
              </w:rPr>
            </w:pPr>
            <w:r>
              <w:rPr>
                <w:sz w:val="20"/>
                <w:szCs w:val="20"/>
              </w:rPr>
              <w:t>BAR-TH-107-SE</w:t>
            </w:r>
          </w:p>
        </w:tc>
        <w:tc>
          <w:tcPr>
            <w:tcW w:w="5292" w:type="dxa"/>
            <w:vAlign w:val="center"/>
          </w:tcPr>
          <w:p w14:paraId="1F440864" w14:textId="3242C606" w:rsidR="00AB7FA3" w:rsidRPr="002C3E36" w:rsidRDefault="00AB7FA3" w:rsidP="00AB7FA3">
            <w:pPr>
              <w:jc w:val="both"/>
              <w:rPr>
                <w:sz w:val="20"/>
                <w:szCs w:val="20"/>
              </w:rPr>
            </w:pPr>
            <w:r>
              <w:rPr>
                <w:sz w:val="20"/>
                <w:szCs w:val="20"/>
              </w:rPr>
              <w:t>A</w:t>
            </w:r>
            <w:r w:rsidRPr="00AB7FA3">
              <w:rPr>
                <w:sz w:val="20"/>
                <w:szCs w:val="20"/>
              </w:rPr>
              <w:t>brogation en application d</w:t>
            </w:r>
            <w:r w:rsidR="002079C6">
              <w:rPr>
                <w:sz w:val="20"/>
                <w:szCs w:val="20"/>
              </w:rPr>
              <w:t>u cadre européen</w:t>
            </w:r>
          </w:p>
        </w:tc>
      </w:tr>
      <w:tr w:rsidR="00AB7FA3" w14:paraId="6A26180C" w14:textId="77777777" w:rsidTr="00D50704">
        <w:trPr>
          <w:cantSplit/>
          <w:trHeight w:val="591"/>
          <w:jc w:val="center"/>
        </w:trPr>
        <w:tc>
          <w:tcPr>
            <w:tcW w:w="3733" w:type="dxa"/>
            <w:shd w:val="clear" w:color="auto" w:fill="auto"/>
            <w:vAlign w:val="center"/>
          </w:tcPr>
          <w:p w14:paraId="4EF3C698" w14:textId="77777777" w:rsidR="00AB7FA3" w:rsidRPr="002C3E36" w:rsidRDefault="00AB7FA3" w:rsidP="00E4710E">
            <w:pPr>
              <w:rPr>
                <w:sz w:val="20"/>
                <w:szCs w:val="20"/>
              </w:rPr>
            </w:pPr>
            <w:r w:rsidRPr="00AB7FA3">
              <w:rPr>
                <w:sz w:val="20"/>
                <w:szCs w:val="20"/>
              </w:rPr>
              <w:t>Chaudière collective haute performance énergétique</w:t>
            </w:r>
          </w:p>
        </w:tc>
        <w:tc>
          <w:tcPr>
            <w:tcW w:w="1559" w:type="dxa"/>
            <w:shd w:val="clear" w:color="auto" w:fill="auto"/>
            <w:vAlign w:val="center"/>
          </w:tcPr>
          <w:p w14:paraId="79168B75" w14:textId="77777777" w:rsidR="00AB7FA3" w:rsidRDefault="00AB7FA3" w:rsidP="00AB7FA3">
            <w:pPr>
              <w:jc w:val="center"/>
              <w:rPr>
                <w:sz w:val="20"/>
                <w:szCs w:val="20"/>
              </w:rPr>
            </w:pPr>
            <w:r>
              <w:rPr>
                <w:sz w:val="20"/>
                <w:szCs w:val="20"/>
              </w:rPr>
              <w:t>BAT-TH-102</w:t>
            </w:r>
          </w:p>
        </w:tc>
        <w:tc>
          <w:tcPr>
            <w:tcW w:w="5292" w:type="dxa"/>
            <w:vAlign w:val="center"/>
          </w:tcPr>
          <w:p w14:paraId="70F10A53" w14:textId="54B83AAF" w:rsidR="00AB7FA3" w:rsidRPr="002C3E36" w:rsidRDefault="00AB7FA3" w:rsidP="00AB7FA3">
            <w:pPr>
              <w:jc w:val="both"/>
              <w:rPr>
                <w:sz w:val="20"/>
                <w:szCs w:val="20"/>
              </w:rPr>
            </w:pPr>
            <w:r>
              <w:rPr>
                <w:sz w:val="20"/>
                <w:szCs w:val="20"/>
              </w:rPr>
              <w:t>A</w:t>
            </w:r>
            <w:r w:rsidRPr="00AB7FA3">
              <w:rPr>
                <w:sz w:val="20"/>
                <w:szCs w:val="20"/>
              </w:rPr>
              <w:t>brogation en application d</w:t>
            </w:r>
            <w:r w:rsidR="002079C6">
              <w:rPr>
                <w:sz w:val="20"/>
                <w:szCs w:val="20"/>
              </w:rPr>
              <w:t>u cadre européen</w:t>
            </w:r>
          </w:p>
        </w:tc>
      </w:tr>
      <w:tr w:rsidR="00521F4A" w14:paraId="71CCC62D" w14:textId="77777777" w:rsidTr="00D50704">
        <w:trPr>
          <w:cantSplit/>
          <w:trHeight w:val="591"/>
          <w:jc w:val="center"/>
        </w:trPr>
        <w:tc>
          <w:tcPr>
            <w:tcW w:w="3733" w:type="dxa"/>
            <w:shd w:val="clear" w:color="auto" w:fill="auto"/>
            <w:vAlign w:val="center"/>
          </w:tcPr>
          <w:p w14:paraId="52BA2F80" w14:textId="1B4F621D" w:rsidR="00521F4A" w:rsidRPr="00AB7FA3" w:rsidRDefault="00521F4A" w:rsidP="00E4710E">
            <w:pPr>
              <w:rPr>
                <w:sz w:val="20"/>
                <w:szCs w:val="20"/>
              </w:rPr>
            </w:pPr>
            <w:r w:rsidRPr="00521F4A">
              <w:rPr>
                <w:sz w:val="20"/>
                <w:szCs w:val="20"/>
              </w:rPr>
              <w:t>Système de variation de puissance en éclairage extérieur</w:t>
            </w:r>
          </w:p>
        </w:tc>
        <w:tc>
          <w:tcPr>
            <w:tcW w:w="1559" w:type="dxa"/>
            <w:shd w:val="clear" w:color="auto" w:fill="auto"/>
            <w:vAlign w:val="center"/>
          </w:tcPr>
          <w:p w14:paraId="4BBD168B" w14:textId="4876FECD" w:rsidR="00521F4A" w:rsidRDefault="00521F4A" w:rsidP="00AB7FA3">
            <w:pPr>
              <w:jc w:val="center"/>
              <w:rPr>
                <w:sz w:val="20"/>
                <w:szCs w:val="20"/>
              </w:rPr>
            </w:pPr>
            <w:r w:rsidRPr="00521F4A">
              <w:rPr>
                <w:sz w:val="20"/>
                <w:szCs w:val="20"/>
              </w:rPr>
              <w:t>RES-EC-103</w:t>
            </w:r>
          </w:p>
        </w:tc>
        <w:tc>
          <w:tcPr>
            <w:tcW w:w="5292" w:type="dxa"/>
            <w:vAlign w:val="center"/>
          </w:tcPr>
          <w:p w14:paraId="3016B28E" w14:textId="79AB0BFF" w:rsidR="00521F4A" w:rsidRDefault="00521F4A" w:rsidP="00521F4A">
            <w:pPr>
              <w:jc w:val="both"/>
              <w:rPr>
                <w:sz w:val="20"/>
                <w:szCs w:val="20"/>
              </w:rPr>
            </w:pPr>
            <w:r>
              <w:rPr>
                <w:sz w:val="20"/>
                <w:szCs w:val="20"/>
              </w:rPr>
              <w:t>Dispositions de la RES-EC-103 intégrées dans la fiche RES-EC-104, révisée lors du 62</w:t>
            </w:r>
            <w:r w:rsidRPr="00521F4A">
              <w:rPr>
                <w:sz w:val="20"/>
                <w:szCs w:val="20"/>
                <w:vertAlign w:val="superscript"/>
              </w:rPr>
              <w:t>ème</w:t>
            </w:r>
            <w:r>
              <w:rPr>
                <w:sz w:val="20"/>
                <w:szCs w:val="20"/>
              </w:rPr>
              <w:t xml:space="preserve"> arrêté. </w:t>
            </w:r>
          </w:p>
        </w:tc>
      </w:tr>
    </w:tbl>
    <w:p w14:paraId="31EF5B75" w14:textId="77777777" w:rsidR="00866115" w:rsidRDefault="00866115" w:rsidP="00BB2065">
      <w:pPr>
        <w:rPr>
          <w:sz w:val="22"/>
          <w:szCs w:val="22"/>
        </w:rPr>
      </w:pPr>
    </w:p>
    <w:sectPr w:rsidR="00866115" w:rsidSect="00C12F2C">
      <w:footerReference w:type="even" r:id="rId8"/>
      <w:footerReference w:type="default" r:id="rId9"/>
      <w:pgSz w:w="11906" w:h="16838" w:code="9"/>
      <w:pgMar w:top="964" w:right="1276" w:bottom="96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ED42E" w14:textId="77777777" w:rsidR="00F81971" w:rsidRDefault="00F81971">
      <w:r>
        <w:separator/>
      </w:r>
    </w:p>
  </w:endnote>
  <w:endnote w:type="continuationSeparator" w:id="0">
    <w:p w14:paraId="732A4DAF" w14:textId="77777777" w:rsidR="00F81971" w:rsidRDefault="00F8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1599" w14:textId="77777777" w:rsidR="004414F3" w:rsidRDefault="004414F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DD47E4C" w14:textId="77777777" w:rsidR="004414F3" w:rsidRDefault="004414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EDB1" w14:textId="4981D64B" w:rsidR="004414F3" w:rsidRDefault="004414F3">
    <w:pPr>
      <w:pStyle w:val="Pieddepage"/>
      <w:ind w:right="-2"/>
      <w:jc w:val="right"/>
    </w:pPr>
    <w:r>
      <w:fldChar w:fldCharType="begin"/>
    </w:r>
    <w:r>
      <w:instrText xml:space="preserve"> page </w:instrText>
    </w:r>
    <w:r>
      <w:fldChar w:fldCharType="separate"/>
    </w:r>
    <w:r w:rsidR="00F30372">
      <w:rPr>
        <w:noProof/>
      </w:rPr>
      <w:t>5</w:t>
    </w:r>
    <w:r>
      <w:fldChar w:fldCharType="end"/>
    </w:r>
    <w:r>
      <w:t>/</w:t>
    </w:r>
    <w:fldSimple w:instr=" numpages ">
      <w:r w:rsidR="00F30372">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6B6F" w14:textId="77777777" w:rsidR="00F81971" w:rsidRDefault="00F81971">
      <w:r>
        <w:separator/>
      </w:r>
    </w:p>
  </w:footnote>
  <w:footnote w:type="continuationSeparator" w:id="0">
    <w:p w14:paraId="7DC66A0F" w14:textId="77777777" w:rsidR="00F81971" w:rsidRDefault="00F81971">
      <w:r>
        <w:continuationSeparator/>
      </w:r>
    </w:p>
  </w:footnote>
  <w:footnote w:id="1">
    <w:p w14:paraId="13EA4FB1" w14:textId="0FA23ACD" w:rsidR="008848FE" w:rsidRDefault="008848FE" w:rsidP="008848FE">
      <w:pPr>
        <w:pStyle w:val="Notedebasdepage"/>
        <w:jc w:val="both"/>
      </w:pPr>
      <w:r>
        <w:rPr>
          <w:rStyle w:val="Appelnotedebasdep"/>
        </w:rPr>
        <w:footnoteRef/>
      </w:r>
      <w:r>
        <w:t xml:space="preserve"> Auparavant, on appliquait un rendement pour exprimer l’énergie finale de la situation après réalisation de l’opération en énergie finale de la situation de référence.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1765"/>
        </w:tabs>
        <w:ind w:left="1765" w:hanging="360"/>
      </w:pPr>
      <w:rPr>
        <w:rFonts w:ascii="Symbol" w:eastAsia="Arial Unicode MS" w:hAnsi="Symbol" w:cs="Times New Roman"/>
        <w:color w:val="000000"/>
        <w:sz w:val="18"/>
        <w:szCs w:val="18"/>
      </w:rPr>
    </w:lvl>
    <w:lvl w:ilvl="1">
      <w:start w:val="1"/>
      <w:numFmt w:val="decimal"/>
      <w:lvlText w:val="%2."/>
      <w:lvlJc w:val="left"/>
      <w:pPr>
        <w:tabs>
          <w:tab w:val="num" w:pos="2125"/>
        </w:tabs>
        <w:ind w:left="2125" w:hanging="360"/>
      </w:pPr>
      <w:rPr>
        <w:rFonts w:ascii="Courier New" w:hAnsi="Courier New" w:cs="Courier New"/>
      </w:rPr>
    </w:lvl>
    <w:lvl w:ilvl="2">
      <w:start w:val="1"/>
      <w:numFmt w:val="decimal"/>
      <w:lvlText w:val="%3."/>
      <w:lvlJc w:val="left"/>
      <w:pPr>
        <w:tabs>
          <w:tab w:val="num" w:pos="2485"/>
        </w:tabs>
        <w:ind w:left="2485" w:hanging="360"/>
      </w:pPr>
      <w:rPr>
        <w:rFonts w:ascii="Wingdings" w:hAnsi="Wingdings" w:cs="Wingdings"/>
      </w:rPr>
    </w:lvl>
    <w:lvl w:ilvl="3">
      <w:start w:val="1"/>
      <w:numFmt w:val="decimal"/>
      <w:lvlText w:val="%4."/>
      <w:lvlJc w:val="left"/>
      <w:pPr>
        <w:tabs>
          <w:tab w:val="num" w:pos="2845"/>
        </w:tabs>
        <w:ind w:left="2845" w:hanging="360"/>
      </w:pPr>
      <w:rPr>
        <w:rFonts w:ascii="Symbol" w:hAnsi="Symbol" w:cs="Symbol"/>
      </w:rPr>
    </w:lvl>
    <w:lvl w:ilvl="4">
      <w:start w:val="1"/>
      <w:numFmt w:val="decimal"/>
      <w:lvlText w:val="%5."/>
      <w:lvlJc w:val="left"/>
      <w:pPr>
        <w:tabs>
          <w:tab w:val="num" w:pos="3205"/>
        </w:tabs>
        <w:ind w:left="3205" w:hanging="360"/>
      </w:pPr>
    </w:lvl>
    <w:lvl w:ilvl="5">
      <w:start w:val="1"/>
      <w:numFmt w:val="decimal"/>
      <w:lvlText w:val="%6."/>
      <w:lvlJc w:val="left"/>
      <w:pPr>
        <w:tabs>
          <w:tab w:val="num" w:pos="3565"/>
        </w:tabs>
        <w:ind w:left="3565" w:hanging="360"/>
      </w:pPr>
    </w:lvl>
    <w:lvl w:ilvl="6">
      <w:start w:val="1"/>
      <w:numFmt w:val="decimal"/>
      <w:lvlText w:val="%7."/>
      <w:lvlJc w:val="left"/>
      <w:pPr>
        <w:tabs>
          <w:tab w:val="num" w:pos="3925"/>
        </w:tabs>
        <w:ind w:left="3925" w:hanging="360"/>
      </w:pPr>
    </w:lvl>
    <w:lvl w:ilvl="7">
      <w:start w:val="1"/>
      <w:numFmt w:val="decimal"/>
      <w:pStyle w:val="Titre8"/>
      <w:lvlText w:val="%8."/>
      <w:lvlJc w:val="left"/>
      <w:pPr>
        <w:tabs>
          <w:tab w:val="num" w:pos="4285"/>
        </w:tabs>
        <w:ind w:left="4285" w:hanging="360"/>
      </w:pPr>
    </w:lvl>
    <w:lvl w:ilvl="8">
      <w:start w:val="1"/>
      <w:numFmt w:val="decimal"/>
      <w:lvlText w:val="%9."/>
      <w:lvlJc w:val="left"/>
      <w:pPr>
        <w:tabs>
          <w:tab w:val="num" w:pos="4645"/>
        </w:tabs>
        <w:ind w:left="4645"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cs="Symbol"/>
        <w:sz w:val="18"/>
        <w:szCs w:val="18"/>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A52071"/>
    <w:multiLevelType w:val="hybridMultilevel"/>
    <w:tmpl w:val="6DB664DC"/>
    <w:lvl w:ilvl="0" w:tplc="3866F298">
      <w:start w:val="49"/>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B4E44"/>
    <w:multiLevelType w:val="hybridMultilevel"/>
    <w:tmpl w:val="C570049C"/>
    <w:lvl w:ilvl="0" w:tplc="D7CE8116">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F6C0B"/>
    <w:multiLevelType w:val="hybridMultilevel"/>
    <w:tmpl w:val="E86894E8"/>
    <w:lvl w:ilvl="0" w:tplc="EC5ABACE">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F0A67"/>
    <w:multiLevelType w:val="hybridMultilevel"/>
    <w:tmpl w:val="D8FE2198"/>
    <w:lvl w:ilvl="0" w:tplc="3866F298">
      <w:start w:val="49"/>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9A3ECC"/>
    <w:multiLevelType w:val="hybridMultilevel"/>
    <w:tmpl w:val="D0F87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6A0B7D"/>
    <w:multiLevelType w:val="hybridMultilevel"/>
    <w:tmpl w:val="AE4C4EB0"/>
    <w:lvl w:ilvl="0" w:tplc="E1200678">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F315C1"/>
    <w:multiLevelType w:val="hybridMultilevel"/>
    <w:tmpl w:val="61DEE348"/>
    <w:lvl w:ilvl="0" w:tplc="3866F298">
      <w:start w:val="49"/>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D74833"/>
    <w:multiLevelType w:val="hybridMultilevel"/>
    <w:tmpl w:val="A008D796"/>
    <w:lvl w:ilvl="0" w:tplc="FBDE3048">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8"/>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8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B6"/>
    <w:rsid w:val="000039B9"/>
    <w:rsid w:val="00003C11"/>
    <w:rsid w:val="00004DCD"/>
    <w:rsid w:val="000059C1"/>
    <w:rsid w:val="00007F41"/>
    <w:rsid w:val="00010880"/>
    <w:rsid w:val="00024943"/>
    <w:rsid w:val="000331DE"/>
    <w:rsid w:val="0003502E"/>
    <w:rsid w:val="00035D79"/>
    <w:rsid w:val="00036848"/>
    <w:rsid w:val="00037C21"/>
    <w:rsid w:val="0004197B"/>
    <w:rsid w:val="00051D9D"/>
    <w:rsid w:val="00057E29"/>
    <w:rsid w:val="00060663"/>
    <w:rsid w:val="00064798"/>
    <w:rsid w:val="00070895"/>
    <w:rsid w:val="00090149"/>
    <w:rsid w:val="000915FF"/>
    <w:rsid w:val="00096231"/>
    <w:rsid w:val="000B4EEE"/>
    <w:rsid w:val="000C004F"/>
    <w:rsid w:val="000D0324"/>
    <w:rsid w:val="000D1F5C"/>
    <w:rsid w:val="000F3250"/>
    <w:rsid w:val="000F609B"/>
    <w:rsid w:val="000F7C35"/>
    <w:rsid w:val="00100401"/>
    <w:rsid w:val="00103ADF"/>
    <w:rsid w:val="00117DD9"/>
    <w:rsid w:val="00125EFD"/>
    <w:rsid w:val="00141BB0"/>
    <w:rsid w:val="00143E60"/>
    <w:rsid w:val="00150BF8"/>
    <w:rsid w:val="00150E76"/>
    <w:rsid w:val="0015630A"/>
    <w:rsid w:val="0017091E"/>
    <w:rsid w:val="00172D27"/>
    <w:rsid w:val="00187574"/>
    <w:rsid w:val="00191F6B"/>
    <w:rsid w:val="00192164"/>
    <w:rsid w:val="00197772"/>
    <w:rsid w:val="001A523D"/>
    <w:rsid w:val="001B0786"/>
    <w:rsid w:val="001B73C4"/>
    <w:rsid w:val="001D3A08"/>
    <w:rsid w:val="001E5B85"/>
    <w:rsid w:val="001F1CB6"/>
    <w:rsid w:val="001F7355"/>
    <w:rsid w:val="00203B2B"/>
    <w:rsid w:val="00205565"/>
    <w:rsid w:val="002056F9"/>
    <w:rsid w:val="002079C6"/>
    <w:rsid w:val="0021523D"/>
    <w:rsid w:val="00216B17"/>
    <w:rsid w:val="00223962"/>
    <w:rsid w:val="002251C6"/>
    <w:rsid w:val="0023433A"/>
    <w:rsid w:val="00237E1E"/>
    <w:rsid w:val="00240C70"/>
    <w:rsid w:val="00246E9B"/>
    <w:rsid w:val="00247B54"/>
    <w:rsid w:val="00252778"/>
    <w:rsid w:val="00256EF8"/>
    <w:rsid w:val="00257DEA"/>
    <w:rsid w:val="0026276C"/>
    <w:rsid w:val="00265A64"/>
    <w:rsid w:val="00267177"/>
    <w:rsid w:val="002752FC"/>
    <w:rsid w:val="0028102D"/>
    <w:rsid w:val="00286DC7"/>
    <w:rsid w:val="00297931"/>
    <w:rsid w:val="002A04C0"/>
    <w:rsid w:val="002A2D5F"/>
    <w:rsid w:val="002A3363"/>
    <w:rsid w:val="002A3A2D"/>
    <w:rsid w:val="002B0CF8"/>
    <w:rsid w:val="002B2A2D"/>
    <w:rsid w:val="002C0610"/>
    <w:rsid w:val="002C3E36"/>
    <w:rsid w:val="002D553E"/>
    <w:rsid w:val="002E3E32"/>
    <w:rsid w:val="002E449F"/>
    <w:rsid w:val="002F45F2"/>
    <w:rsid w:val="00307860"/>
    <w:rsid w:val="00311F7D"/>
    <w:rsid w:val="00314849"/>
    <w:rsid w:val="0033077A"/>
    <w:rsid w:val="00345730"/>
    <w:rsid w:val="00346760"/>
    <w:rsid w:val="0034677F"/>
    <w:rsid w:val="00351E71"/>
    <w:rsid w:val="00353A6E"/>
    <w:rsid w:val="00371185"/>
    <w:rsid w:val="00385D19"/>
    <w:rsid w:val="00386034"/>
    <w:rsid w:val="003A3F5B"/>
    <w:rsid w:val="003A4E78"/>
    <w:rsid w:val="003A5613"/>
    <w:rsid w:val="003B69DE"/>
    <w:rsid w:val="003B7F92"/>
    <w:rsid w:val="003C71ED"/>
    <w:rsid w:val="003E34BF"/>
    <w:rsid w:val="003F67A7"/>
    <w:rsid w:val="00402566"/>
    <w:rsid w:val="00403507"/>
    <w:rsid w:val="00412613"/>
    <w:rsid w:val="004166EB"/>
    <w:rsid w:val="0043755C"/>
    <w:rsid w:val="004414F3"/>
    <w:rsid w:val="004440F0"/>
    <w:rsid w:val="00445202"/>
    <w:rsid w:val="004612B8"/>
    <w:rsid w:val="00470460"/>
    <w:rsid w:val="00474C55"/>
    <w:rsid w:val="00493A6D"/>
    <w:rsid w:val="004A0145"/>
    <w:rsid w:val="004A5408"/>
    <w:rsid w:val="004A6374"/>
    <w:rsid w:val="004B5832"/>
    <w:rsid w:val="004C2E6D"/>
    <w:rsid w:val="004E22EC"/>
    <w:rsid w:val="004F3DE9"/>
    <w:rsid w:val="005015D7"/>
    <w:rsid w:val="0050292B"/>
    <w:rsid w:val="00502942"/>
    <w:rsid w:val="00504AE2"/>
    <w:rsid w:val="00521F4A"/>
    <w:rsid w:val="0053126A"/>
    <w:rsid w:val="005425F7"/>
    <w:rsid w:val="00545A8D"/>
    <w:rsid w:val="0054758C"/>
    <w:rsid w:val="00553C79"/>
    <w:rsid w:val="005626E0"/>
    <w:rsid w:val="00565DF2"/>
    <w:rsid w:val="00575AD3"/>
    <w:rsid w:val="005816F5"/>
    <w:rsid w:val="00590AD3"/>
    <w:rsid w:val="005949AE"/>
    <w:rsid w:val="005B00C0"/>
    <w:rsid w:val="005B1ED4"/>
    <w:rsid w:val="005B3248"/>
    <w:rsid w:val="005C0659"/>
    <w:rsid w:val="005C3099"/>
    <w:rsid w:val="005C4159"/>
    <w:rsid w:val="005D2877"/>
    <w:rsid w:val="005D3990"/>
    <w:rsid w:val="005D3E58"/>
    <w:rsid w:val="005D7742"/>
    <w:rsid w:val="005E4584"/>
    <w:rsid w:val="00601107"/>
    <w:rsid w:val="0060119F"/>
    <w:rsid w:val="00602EC6"/>
    <w:rsid w:val="00606976"/>
    <w:rsid w:val="006072E1"/>
    <w:rsid w:val="006143B8"/>
    <w:rsid w:val="00623C67"/>
    <w:rsid w:val="00626F8A"/>
    <w:rsid w:val="006300F4"/>
    <w:rsid w:val="0064071C"/>
    <w:rsid w:val="00641CD1"/>
    <w:rsid w:val="00643720"/>
    <w:rsid w:val="006478BA"/>
    <w:rsid w:val="00657128"/>
    <w:rsid w:val="00674D77"/>
    <w:rsid w:val="006960DA"/>
    <w:rsid w:val="00696AA7"/>
    <w:rsid w:val="006A4565"/>
    <w:rsid w:val="006B127F"/>
    <w:rsid w:val="006B3E66"/>
    <w:rsid w:val="006D446C"/>
    <w:rsid w:val="006D4D45"/>
    <w:rsid w:val="006D6605"/>
    <w:rsid w:val="006E03B9"/>
    <w:rsid w:val="006F6111"/>
    <w:rsid w:val="00706A68"/>
    <w:rsid w:val="007177EA"/>
    <w:rsid w:val="00725841"/>
    <w:rsid w:val="00742E2E"/>
    <w:rsid w:val="00746148"/>
    <w:rsid w:val="00753B6D"/>
    <w:rsid w:val="00763158"/>
    <w:rsid w:val="00765C5B"/>
    <w:rsid w:val="00771E59"/>
    <w:rsid w:val="007765D6"/>
    <w:rsid w:val="00781F16"/>
    <w:rsid w:val="00783768"/>
    <w:rsid w:val="00785DC8"/>
    <w:rsid w:val="00792EDF"/>
    <w:rsid w:val="007A4BDF"/>
    <w:rsid w:val="007A7B17"/>
    <w:rsid w:val="007B5E89"/>
    <w:rsid w:val="007C4AA3"/>
    <w:rsid w:val="007C547B"/>
    <w:rsid w:val="007D44AC"/>
    <w:rsid w:val="007D4B9C"/>
    <w:rsid w:val="007D7B5A"/>
    <w:rsid w:val="007E167C"/>
    <w:rsid w:val="007F4BDC"/>
    <w:rsid w:val="007F7523"/>
    <w:rsid w:val="00803E2D"/>
    <w:rsid w:val="0082611C"/>
    <w:rsid w:val="00840759"/>
    <w:rsid w:val="0085349C"/>
    <w:rsid w:val="008616F1"/>
    <w:rsid w:val="00864473"/>
    <w:rsid w:val="00864A57"/>
    <w:rsid w:val="00866115"/>
    <w:rsid w:val="008759F0"/>
    <w:rsid w:val="008848FE"/>
    <w:rsid w:val="00895346"/>
    <w:rsid w:val="008A7306"/>
    <w:rsid w:val="008B0633"/>
    <w:rsid w:val="008B47F8"/>
    <w:rsid w:val="008B5C9A"/>
    <w:rsid w:val="008C22AC"/>
    <w:rsid w:val="008D571E"/>
    <w:rsid w:val="008F65F2"/>
    <w:rsid w:val="0090566E"/>
    <w:rsid w:val="00906043"/>
    <w:rsid w:val="00913051"/>
    <w:rsid w:val="00915684"/>
    <w:rsid w:val="00915C16"/>
    <w:rsid w:val="0091618F"/>
    <w:rsid w:val="00925517"/>
    <w:rsid w:val="009275E0"/>
    <w:rsid w:val="00946592"/>
    <w:rsid w:val="0095487B"/>
    <w:rsid w:val="00960605"/>
    <w:rsid w:val="00984944"/>
    <w:rsid w:val="00990871"/>
    <w:rsid w:val="00994246"/>
    <w:rsid w:val="009A30CE"/>
    <w:rsid w:val="009A3313"/>
    <w:rsid w:val="009A7076"/>
    <w:rsid w:val="009B7215"/>
    <w:rsid w:val="009F1E0C"/>
    <w:rsid w:val="009F3A75"/>
    <w:rsid w:val="00A13A2F"/>
    <w:rsid w:val="00A15273"/>
    <w:rsid w:val="00A30986"/>
    <w:rsid w:val="00A31F67"/>
    <w:rsid w:val="00A50B2A"/>
    <w:rsid w:val="00A62B68"/>
    <w:rsid w:val="00A63398"/>
    <w:rsid w:val="00A720CB"/>
    <w:rsid w:val="00A748D5"/>
    <w:rsid w:val="00A77C4D"/>
    <w:rsid w:val="00A92961"/>
    <w:rsid w:val="00A94A36"/>
    <w:rsid w:val="00AA5DC9"/>
    <w:rsid w:val="00AB012D"/>
    <w:rsid w:val="00AB2208"/>
    <w:rsid w:val="00AB40FF"/>
    <w:rsid w:val="00AB4DB9"/>
    <w:rsid w:val="00AB589E"/>
    <w:rsid w:val="00AB5A63"/>
    <w:rsid w:val="00AB6E5A"/>
    <w:rsid w:val="00AB7FA3"/>
    <w:rsid w:val="00AE1F0B"/>
    <w:rsid w:val="00AF0B19"/>
    <w:rsid w:val="00AF1A00"/>
    <w:rsid w:val="00B0407E"/>
    <w:rsid w:val="00B05254"/>
    <w:rsid w:val="00B2107A"/>
    <w:rsid w:val="00B354F2"/>
    <w:rsid w:val="00B35B22"/>
    <w:rsid w:val="00B67A6C"/>
    <w:rsid w:val="00B70881"/>
    <w:rsid w:val="00B8331A"/>
    <w:rsid w:val="00B91807"/>
    <w:rsid w:val="00BA21A4"/>
    <w:rsid w:val="00BA232B"/>
    <w:rsid w:val="00BB061F"/>
    <w:rsid w:val="00BB2065"/>
    <w:rsid w:val="00BD1ADB"/>
    <w:rsid w:val="00BD2C39"/>
    <w:rsid w:val="00BD5628"/>
    <w:rsid w:val="00BF36D6"/>
    <w:rsid w:val="00C03D4A"/>
    <w:rsid w:val="00C07C00"/>
    <w:rsid w:val="00C12F2C"/>
    <w:rsid w:val="00C2321B"/>
    <w:rsid w:val="00C243A5"/>
    <w:rsid w:val="00C37EC7"/>
    <w:rsid w:val="00C57860"/>
    <w:rsid w:val="00C57B9B"/>
    <w:rsid w:val="00C66A2D"/>
    <w:rsid w:val="00C7190F"/>
    <w:rsid w:val="00C73105"/>
    <w:rsid w:val="00C83632"/>
    <w:rsid w:val="00C84F6F"/>
    <w:rsid w:val="00C90E77"/>
    <w:rsid w:val="00C948D2"/>
    <w:rsid w:val="00C954D0"/>
    <w:rsid w:val="00C96D09"/>
    <w:rsid w:val="00CA357D"/>
    <w:rsid w:val="00CA4AF0"/>
    <w:rsid w:val="00CA52B9"/>
    <w:rsid w:val="00CA7910"/>
    <w:rsid w:val="00CB14EA"/>
    <w:rsid w:val="00CB211F"/>
    <w:rsid w:val="00CB24B9"/>
    <w:rsid w:val="00CB420A"/>
    <w:rsid w:val="00CD0484"/>
    <w:rsid w:val="00CE028F"/>
    <w:rsid w:val="00D14BA8"/>
    <w:rsid w:val="00D15ABA"/>
    <w:rsid w:val="00D17B57"/>
    <w:rsid w:val="00D23B4C"/>
    <w:rsid w:val="00D31921"/>
    <w:rsid w:val="00D33C17"/>
    <w:rsid w:val="00D465B5"/>
    <w:rsid w:val="00D50704"/>
    <w:rsid w:val="00D60CC4"/>
    <w:rsid w:val="00D6493A"/>
    <w:rsid w:val="00D77FD7"/>
    <w:rsid w:val="00D969E5"/>
    <w:rsid w:val="00DA0E70"/>
    <w:rsid w:val="00DA110A"/>
    <w:rsid w:val="00DA4D40"/>
    <w:rsid w:val="00DA4F17"/>
    <w:rsid w:val="00DC2689"/>
    <w:rsid w:val="00DF406F"/>
    <w:rsid w:val="00E04BE5"/>
    <w:rsid w:val="00E17F9D"/>
    <w:rsid w:val="00E219AF"/>
    <w:rsid w:val="00E3090E"/>
    <w:rsid w:val="00E31C25"/>
    <w:rsid w:val="00E35243"/>
    <w:rsid w:val="00E37A64"/>
    <w:rsid w:val="00E40AC2"/>
    <w:rsid w:val="00E42471"/>
    <w:rsid w:val="00E4710E"/>
    <w:rsid w:val="00E50948"/>
    <w:rsid w:val="00E74547"/>
    <w:rsid w:val="00E74911"/>
    <w:rsid w:val="00E755DB"/>
    <w:rsid w:val="00E75606"/>
    <w:rsid w:val="00E80D1A"/>
    <w:rsid w:val="00E813C0"/>
    <w:rsid w:val="00E90F15"/>
    <w:rsid w:val="00E913D4"/>
    <w:rsid w:val="00E9613A"/>
    <w:rsid w:val="00E972D0"/>
    <w:rsid w:val="00EA32E7"/>
    <w:rsid w:val="00EB3598"/>
    <w:rsid w:val="00EB57A0"/>
    <w:rsid w:val="00EB5E8E"/>
    <w:rsid w:val="00EB7875"/>
    <w:rsid w:val="00EC568F"/>
    <w:rsid w:val="00EC6FF4"/>
    <w:rsid w:val="00ED149E"/>
    <w:rsid w:val="00ED7495"/>
    <w:rsid w:val="00EF4FFF"/>
    <w:rsid w:val="00EF7902"/>
    <w:rsid w:val="00F00977"/>
    <w:rsid w:val="00F031CF"/>
    <w:rsid w:val="00F040C1"/>
    <w:rsid w:val="00F05D8F"/>
    <w:rsid w:val="00F13FAB"/>
    <w:rsid w:val="00F153FD"/>
    <w:rsid w:val="00F2180D"/>
    <w:rsid w:val="00F23C07"/>
    <w:rsid w:val="00F26410"/>
    <w:rsid w:val="00F30372"/>
    <w:rsid w:val="00F4030A"/>
    <w:rsid w:val="00F5034F"/>
    <w:rsid w:val="00F64DFC"/>
    <w:rsid w:val="00F66784"/>
    <w:rsid w:val="00F667C1"/>
    <w:rsid w:val="00F708D8"/>
    <w:rsid w:val="00F711CF"/>
    <w:rsid w:val="00F719FD"/>
    <w:rsid w:val="00F81971"/>
    <w:rsid w:val="00F96D52"/>
    <w:rsid w:val="00FA679E"/>
    <w:rsid w:val="00FB0B0C"/>
    <w:rsid w:val="00FB10A6"/>
    <w:rsid w:val="00FB3D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37422C"/>
  <w15:chartTrackingRefBased/>
  <w15:docId w15:val="{57633AD6-6517-461A-A374-E785F9CA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15"/>
    <w:pPr>
      <w:suppressAutoHyphens/>
    </w:pPr>
    <w:rPr>
      <w:sz w:val="24"/>
      <w:szCs w:val="24"/>
      <w:lang w:eastAsia="zh-CN"/>
    </w:rPr>
  </w:style>
  <w:style w:type="paragraph" w:styleId="Titre8">
    <w:name w:val="heading 8"/>
    <w:basedOn w:val="Normal"/>
    <w:next w:val="Normal"/>
    <w:qFormat/>
    <w:pPr>
      <w:keepNext/>
      <w:numPr>
        <w:ilvl w:val="7"/>
        <w:numId w:val="1"/>
      </w:numPr>
      <w:jc w:val="center"/>
      <w:outlineLvl w:val="7"/>
    </w:pPr>
    <w:rPr>
      <w:b/>
      <w:bCs/>
      <w:kern w:val="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eastAsia="Arial Unicode MS" w:hAnsi="Symbol" w:cs="Times New Roman"/>
      <w:color w:val="000000"/>
      <w:sz w:val="18"/>
      <w:szCs w:val="18"/>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18"/>
      <w:szCs w:val="18"/>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Arial Unicode MS" w:hAnsi="Symbol"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Policepardfaut3">
    <w:name w:val="Police par défaut3"/>
  </w:style>
  <w:style w:type="character" w:customStyle="1" w:styleId="Absatz-Standardschriftart">
    <w:name w:val="Absatz-Standardschriftart"/>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Policepardfaut1">
    <w:name w:val="Police par défaut1"/>
  </w:style>
  <w:style w:type="character" w:styleId="lev">
    <w:name w:val="Strong"/>
    <w:qFormat/>
    <w:rPr>
      <w:b/>
      <w:bCs/>
    </w:rPr>
  </w:style>
  <w:style w:type="character" w:customStyle="1" w:styleId="Caractresdenotedebasdepage">
    <w:name w:val="Caractères de note de bas de page"/>
    <w:rPr>
      <w:vertAlign w:val="superscript"/>
    </w:rPr>
  </w:style>
  <w:style w:type="character" w:styleId="Numrodepage">
    <w:name w:val="page number"/>
    <w:basedOn w:val="Policepardfaut1"/>
  </w:style>
  <w:style w:type="character" w:customStyle="1" w:styleId="WW-Caractresdenotedebasdepage">
    <w:name w:val="WW-Caractères de note de bas de page"/>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notedebasdep1">
    <w:name w:val="Appel note de bas de p.1"/>
    <w:rPr>
      <w:vertAlign w:val="superscript"/>
    </w:rPr>
  </w:style>
  <w:style w:type="character" w:customStyle="1" w:styleId="Appeldenotedefin1">
    <w:name w:val="Appel de note de fin1"/>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WW8Num22z0">
    <w:name w:val="WW8Num22z0"/>
    <w:rPr>
      <w:rFonts w:ascii="Symbol" w:hAnsi="Symbol" w:cs="Symbol"/>
    </w:rPr>
  </w:style>
  <w:style w:type="character" w:customStyle="1" w:styleId="Appelnotedebasdep2">
    <w:name w:val="Appel note de bas de p.2"/>
    <w:rPr>
      <w:vertAlign w:val="superscript"/>
    </w:rPr>
  </w:style>
  <w:style w:type="character" w:customStyle="1" w:styleId="Policepardfaut2">
    <w:name w:val="Police par défaut2"/>
  </w:style>
  <w:style w:type="character" w:styleId="Lienhypertexte">
    <w:name w:val="Hyperlink"/>
    <w:rPr>
      <w:color w:val="0000FF"/>
      <w:u w:val="single"/>
    </w:rPr>
  </w:style>
  <w:style w:type="paragraph" w:customStyle="1" w:styleId="Titre2">
    <w:name w:val="Titre2"/>
    <w:basedOn w:val="Titre1"/>
    <w:next w:val="Corpsdetexte"/>
    <w:pPr>
      <w:jc w:val="center"/>
    </w:pPr>
    <w:rPr>
      <w:b/>
      <w:bCs/>
      <w:sz w:val="36"/>
      <w:szCs w:val="36"/>
    </w:rPr>
  </w:style>
  <w:style w:type="paragraph" w:styleId="Corpsdetexte">
    <w:name w:val="Body Text"/>
    <w:basedOn w:val="Normal"/>
    <w:pPr>
      <w:spacing w:after="120"/>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pPr>
      <w:suppressLineNumbers/>
    </w:pPr>
    <w:rPr>
      <w:rFonts w:ascii="Liberation Sans" w:hAnsi="Liberation Sans" w:cs="Mangal"/>
    </w:rPr>
  </w:style>
  <w:style w:type="paragraph" w:customStyle="1" w:styleId="Titre1">
    <w:name w:val="Titre1"/>
    <w:basedOn w:val="Normal"/>
    <w:next w:val="Corpsdetexte"/>
    <w:pPr>
      <w:keepNext/>
      <w:spacing w:before="240" w:after="120"/>
    </w:pPr>
    <w:rPr>
      <w:rFonts w:ascii="Liberation Sans" w:eastAsia="SimSun" w:hAnsi="Liberation Sans" w:cs="Mangal"/>
      <w:sz w:val="28"/>
      <w:szCs w:val="28"/>
    </w:rPr>
  </w:style>
  <w:style w:type="paragraph" w:styleId="NormalWeb">
    <w:name w:val="Normal (Web)"/>
    <w:basedOn w:val="Normal"/>
    <w:pPr>
      <w:spacing w:before="280" w:after="119"/>
    </w:pPr>
    <w:rPr>
      <w:rFonts w:ascii="Arial Unicode MS" w:eastAsia="Arial Unicode MS" w:hAnsi="Arial Unicode MS" w:cs="Arial Unicode MS"/>
    </w:rPr>
  </w:style>
  <w:style w:type="paragraph" w:customStyle="1" w:styleId="Retraitcorpsdetexte21">
    <w:name w:val="Retrait corps de texte 21"/>
    <w:basedOn w:val="Normal"/>
    <w:pPr>
      <w:overflowPunct w:val="0"/>
      <w:autoSpaceDE w:val="0"/>
      <w:spacing w:before="120"/>
      <w:ind w:firstLine="851"/>
      <w:jc w:val="both"/>
      <w:textAlignment w:val="baseline"/>
    </w:pPr>
    <w:rPr>
      <w:szCs w:val="20"/>
    </w:rPr>
  </w:style>
  <w:style w:type="paragraph" w:styleId="Notedebasdepage">
    <w:name w:val="footnote text"/>
    <w:basedOn w:val="Normal"/>
    <w:pPr>
      <w:suppressLineNumbers/>
      <w:ind w:left="339" w:hanging="339"/>
    </w:pPr>
    <w:rPr>
      <w:sz w:val="20"/>
      <w:szCs w:val="20"/>
    </w:rPr>
  </w:style>
  <w:style w:type="paragraph" w:styleId="Pieddepage">
    <w:name w:val="footer"/>
    <w:basedOn w:val="Normal"/>
    <w:pPr>
      <w:tabs>
        <w:tab w:val="center" w:pos="4536"/>
        <w:tab w:val="right" w:pos="9072"/>
      </w:tabs>
    </w:pPr>
  </w:style>
  <w:style w:type="paragraph" w:styleId="Sous-titre">
    <w:name w:val="Subtitle"/>
    <w:basedOn w:val="Titre1"/>
    <w:next w:val="Corpsdetexte"/>
    <w:qFormat/>
    <w:pPr>
      <w:jc w:val="center"/>
    </w:pPr>
    <w:rPr>
      <w:i/>
      <w:iCs/>
    </w:rPr>
  </w:style>
  <w:style w:type="paragraph" w:customStyle="1" w:styleId="OK">
    <w:name w:val="OK"/>
    <w:basedOn w:val="Normal"/>
    <w:pPr>
      <w:spacing w:after="120"/>
    </w:pPr>
    <w:rPr>
      <w:lang w:val="x-none"/>
    </w:rPr>
  </w:style>
  <w:style w:type="paragraph" w:styleId="Paragraphedeliste">
    <w:name w:val="List Paragraph"/>
    <w:basedOn w:val="Normal"/>
    <w:qFormat/>
    <w:pPr>
      <w:ind w:left="720"/>
    </w:pPr>
  </w:style>
  <w:style w:type="paragraph" w:customStyle="1" w:styleId="m-corpstexte">
    <w:name w:val="m-corps texte"/>
    <w:basedOn w:val="Normal"/>
    <w:pPr>
      <w:spacing w:after="261"/>
      <w:jc w:val="both"/>
    </w:pPr>
  </w:style>
  <w:style w:type="paragraph" w:customStyle="1" w:styleId="m-InterTitre1">
    <w:name w:val="m-InterTitre1"/>
    <w:basedOn w:val="Normal"/>
    <w:next w:val="Normal"/>
    <w:pPr>
      <w:spacing w:after="261"/>
    </w:pPr>
    <w:rPr>
      <w:b/>
    </w:rPr>
  </w:style>
  <w:style w:type="paragraph" w:customStyle="1" w:styleId="m-corpstexte2">
    <w:name w:val="m-corps texte2"/>
    <w:basedOn w:val="m-corpstexte"/>
    <w:pPr>
      <w:spacing w:after="5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xl25">
    <w:name w:val="xl25"/>
    <w:basedOn w:val="Normal"/>
    <w:pPr>
      <w:pBdr>
        <w:bottom w:val="single" w:sz="8" w:space="0" w:color="000000"/>
      </w:pBdr>
      <w:spacing w:before="280" w:after="280"/>
      <w:jc w:val="center"/>
    </w:pPr>
    <w:rPr>
      <w:rFonts w:ascii="Arial Unicode MS" w:eastAsia="Arial Unicode MS" w:hAnsi="Arial Unicode MS" w:cs="Arial Unicode MS"/>
      <w:sz w:val="22"/>
    </w:rPr>
  </w:style>
  <w:style w:type="paragraph" w:styleId="Textedebulles">
    <w:name w:val="Balloon Text"/>
    <w:basedOn w:val="Normal"/>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character" w:customStyle="1" w:styleId="WW-Absatz-Standardschriftart11111111111111111111111111111111111111">
    <w:name w:val="WW-Absatz-Standardschriftart11111111111111111111111111111111111111"/>
  </w:style>
  <w:style w:type="paragraph" w:styleId="Objetducommentaire">
    <w:name w:val="annotation subject"/>
    <w:basedOn w:val="Commentaire"/>
    <w:next w:val="Commentaire"/>
    <w:semiHidden/>
    <w:rPr>
      <w:b/>
      <w:bCs/>
    </w:rPr>
  </w:style>
  <w:style w:type="character" w:customStyle="1" w:styleId="CommentaireCar">
    <w:name w:val="Commentaire Car"/>
    <w:link w:val="Commentaire"/>
    <w:semiHidden/>
    <w:rPr>
      <w:lang w:val="fr-FR" w:eastAsia="zh-CN" w:bidi="ar-SA"/>
    </w:rPr>
  </w:style>
  <w:style w:type="paragraph" w:customStyle="1" w:styleId="Base">
    <w:name w:val="Base"/>
    <w:basedOn w:val="Normal"/>
    <w:pPr>
      <w:ind w:firstLine="284"/>
      <w:jc w:val="both"/>
    </w:pPr>
    <w:rPr>
      <w:rFonts w:ascii="Arial" w:hAnsi="Arial" w:cs="Arial"/>
      <w:kern w:val="1"/>
      <w:sz w:val="22"/>
      <w:szCs w:val="22"/>
    </w:rPr>
  </w:style>
  <w:style w:type="paragraph" w:customStyle="1" w:styleId="Standard">
    <w:name w:val="Standard"/>
    <w:pPr>
      <w:suppressAutoHyphens/>
      <w:spacing w:after="170"/>
      <w:jc w:val="both"/>
      <w:textAlignment w:val="baseline"/>
    </w:pPr>
    <w:rPr>
      <w:rFonts w:ascii="Arial" w:eastAsia="SimSun" w:hAnsi="Arial" w:cs="Mangal"/>
      <w:kern w:val="1"/>
      <w:sz w:val="22"/>
      <w:szCs w:val="24"/>
      <w:lang w:eastAsia="zh-CN" w:bidi="hi-IN"/>
    </w:rPr>
  </w:style>
  <w:style w:type="paragraph" w:styleId="En-tte">
    <w:name w:val="header"/>
    <w:basedOn w:val="Normal"/>
    <w:link w:val="En-tteCar"/>
    <w:pPr>
      <w:tabs>
        <w:tab w:val="center" w:pos="4536"/>
        <w:tab w:val="right" w:pos="9072"/>
      </w:tabs>
    </w:pPr>
  </w:style>
  <w:style w:type="character" w:customStyle="1" w:styleId="En-tteCar">
    <w:name w:val="En-tête Car"/>
    <w:link w:val="En-tt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79595">
      <w:bodyDiv w:val="1"/>
      <w:marLeft w:val="0"/>
      <w:marRight w:val="0"/>
      <w:marTop w:val="0"/>
      <w:marBottom w:val="0"/>
      <w:divBdr>
        <w:top w:val="none" w:sz="0" w:space="0" w:color="auto"/>
        <w:left w:val="none" w:sz="0" w:space="0" w:color="auto"/>
        <w:bottom w:val="none" w:sz="0" w:space="0" w:color="auto"/>
        <w:right w:val="none" w:sz="0" w:space="0" w:color="auto"/>
      </w:divBdr>
    </w:div>
    <w:div w:id="1479610297">
      <w:bodyDiv w:val="1"/>
      <w:marLeft w:val="0"/>
      <w:marRight w:val="0"/>
      <w:marTop w:val="0"/>
      <w:marBottom w:val="0"/>
      <w:divBdr>
        <w:top w:val="none" w:sz="0" w:space="0" w:color="auto"/>
        <w:left w:val="none" w:sz="0" w:space="0" w:color="auto"/>
        <w:bottom w:val="none" w:sz="0" w:space="0" w:color="auto"/>
        <w:right w:val="none" w:sz="0" w:space="0" w:color="auto"/>
      </w:divBdr>
    </w:div>
    <w:div w:id="18834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4BA1-23E3-4F7F-98EC-9FF140A4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1679</Words>
  <Characters>9237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Rapport pour le Conseil supérieur de l’énergie du 6 avruil</vt:lpstr>
    </vt:vector>
  </TitlesOfParts>
  <Company>MEDDTL</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pour le Conseil supérieur de l’énergie du 6 avruil</dc:title>
  <dc:subject/>
  <dc:creator>eric.dodemand</dc:creator>
  <cp:keywords/>
  <cp:lastModifiedBy>Coralie Ruffenach</cp:lastModifiedBy>
  <cp:revision>3</cp:revision>
  <cp:lastPrinted>2019-06-26T07:46:00Z</cp:lastPrinted>
  <dcterms:created xsi:type="dcterms:W3CDTF">2024-12-04T17:17:00Z</dcterms:created>
  <dcterms:modified xsi:type="dcterms:W3CDTF">2024-12-04T17:17:00Z</dcterms:modified>
</cp:coreProperties>
</file>