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2BAF" w14:textId="77777777" w:rsidR="00A462CD" w:rsidRDefault="00A462CD" w:rsidP="00A462CD">
      <w:pPr>
        <w:pStyle w:val="Standard"/>
        <w:pBdr>
          <w:top w:val="single" w:sz="4" w:space="1" w:color="000000"/>
          <w:left w:val="single" w:sz="4" w:space="1" w:color="000000"/>
          <w:bottom w:val="single" w:sz="4" w:space="1" w:color="000000"/>
          <w:right w:val="single" w:sz="4" w:space="4" w:color="000000"/>
        </w:pBdr>
        <w:snapToGrid w:val="0"/>
        <w:jc w:val="center"/>
        <w:rPr>
          <w:b/>
          <w:bCs/>
          <w:color w:val="000000"/>
          <w:sz w:val="22"/>
          <w:szCs w:val="22"/>
        </w:rPr>
      </w:pPr>
      <w:r>
        <w:rPr>
          <w:b/>
          <w:bCs/>
          <w:color w:val="000000"/>
          <w:sz w:val="22"/>
          <w:szCs w:val="22"/>
        </w:rPr>
        <w:t>Rapport de présentation au Conseil supérieur de l’énergie</w:t>
      </w:r>
    </w:p>
    <w:p w14:paraId="02DA9412" w14:textId="77777777" w:rsidR="00A462CD" w:rsidRDefault="00A462CD" w:rsidP="00A462CD">
      <w:pPr>
        <w:pStyle w:val="Standard"/>
        <w:pBdr>
          <w:top w:val="single" w:sz="4" w:space="1" w:color="000000"/>
          <w:left w:val="single" w:sz="4" w:space="1" w:color="000000"/>
          <w:bottom w:val="single" w:sz="4" w:space="1" w:color="000000"/>
          <w:right w:val="single" w:sz="4" w:space="4" w:color="000000"/>
        </w:pBdr>
        <w:snapToGrid w:val="0"/>
        <w:jc w:val="center"/>
      </w:pPr>
      <w:r>
        <w:rPr>
          <w:b/>
          <w:bCs/>
          <w:color w:val="000000"/>
          <w:sz w:val="22"/>
          <w:szCs w:val="22"/>
        </w:rPr>
        <w:t>***</w:t>
      </w:r>
    </w:p>
    <w:p w14:paraId="166F328F" w14:textId="47B68197" w:rsidR="00A462CD" w:rsidRDefault="00A462CD" w:rsidP="00A462CD">
      <w:pPr>
        <w:pStyle w:val="Standard"/>
        <w:pBdr>
          <w:top w:val="single" w:sz="4" w:space="1" w:color="000000"/>
          <w:left w:val="single" w:sz="4" w:space="1" w:color="000000"/>
          <w:bottom w:val="single" w:sz="4" w:space="1" w:color="000000"/>
          <w:right w:val="single" w:sz="4" w:space="4" w:color="000000"/>
        </w:pBdr>
        <w:snapToGrid w:val="0"/>
        <w:jc w:val="center"/>
        <w:rPr>
          <w:b/>
          <w:bCs/>
          <w:color w:val="000000"/>
          <w:sz w:val="22"/>
          <w:szCs w:val="22"/>
        </w:rPr>
      </w:pPr>
      <w:r w:rsidRPr="00C80754">
        <w:rPr>
          <w:b/>
          <w:bCs/>
          <w:color w:val="000000"/>
          <w:sz w:val="22"/>
          <w:szCs w:val="22"/>
        </w:rPr>
        <w:t xml:space="preserve">Projet d’arrêté </w:t>
      </w:r>
      <w:r w:rsidR="00546F80" w:rsidRPr="00546F80">
        <w:rPr>
          <w:b/>
          <w:bCs/>
          <w:color w:val="000000"/>
          <w:sz w:val="22"/>
          <w:szCs w:val="22"/>
        </w:rPr>
        <w:t>portant modification d</w:t>
      </w:r>
      <w:r w:rsidR="003A47FD">
        <w:rPr>
          <w:b/>
          <w:bCs/>
          <w:color w:val="000000"/>
          <w:sz w:val="22"/>
          <w:szCs w:val="22"/>
        </w:rPr>
        <w:t>e</w:t>
      </w:r>
      <w:r w:rsidR="00546F80" w:rsidRPr="00546F80">
        <w:rPr>
          <w:b/>
          <w:bCs/>
          <w:color w:val="000000"/>
          <w:sz w:val="22"/>
          <w:szCs w:val="22"/>
        </w:rPr>
        <w:t xml:space="preserve"> programme</w:t>
      </w:r>
      <w:r w:rsidR="003A47FD">
        <w:rPr>
          <w:b/>
          <w:bCs/>
          <w:color w:val="000000"/>
          <w:sz w:val="22"/>
          <w:szCs w:val="22"/>
        </w:rPr>
        <w:t>s</w:t>
      </w:r>
      <w:r w:rsidR="00546F80" w:rsidRPr="00546F80">
        <w:rPr>
          <w:b/>
          <w:bCs/>
          <w:color w:val="000000"/>
          <w:sz w:val="22"/>
          <w:szCs w:val="22"/>
        </w:rPr>
        <w:t xml:space="preserve"> dans le cadre du dispositif des certificats d’économies d’énergie</w:t>
      </w:r>
    </w:p>
    <w:p w14:paraId="42F35E62" w14:textId="77777777" w:rsidR="00A462CD" w:rsidRDefault="00A462CD" w:rsidP="00A462CD">
      <w:pPr>
        <w:pStyle w:val="Standard"/>
        <w:rPr>
          <w:sz w:val="22"/>
          <w:szCs w:val="22"/>
        </w:rPr>
      </w:pPr>
    </w:p>
    <w:p w14:paraId="0D78BC8E" w14:textId="77777777" w:rsidR="00A462CD" w:rsidRPr="00921024" w:rsidRDefault="00A462CD" w:rsidP="00A462CD">
      <w:pPr>
        <w:pStyle w:val="Corpsdetexte11pt"/>
        <w:spacing w:before="80" w:after="0"/>
      </w:pPr>
      <w:r w:rsidRPr="00921024">
        <w:t xml:space="preserve">Conformément à l’article L. 221-7 du code de l’énergie, des certificats d’économies d’énergie peuvent être délivrés dans le cadre de la contribution à des programmes d’accompagnement. Cela permet de soutenir des actions structurantes ou innovantes qui contribuent à la réalisation d’économies d’énergie sans qu’il soit possible de les quantifier directement. </w:t>
      </w:r>
    </w:p>
    <w:p w14:paraId="215ECEDD" w14:textId="77777777" w:rsidR="00BD3D8A" w:rsidRPr="00921024" w:rsidRDefault="00BD3D8A" w:rsidP="00A462CD">
      <w:pPr>
        <w:suppressAutoHyphens w:val="0"/>
        <w:spacing w:before="80" w:line="198" w:lineRule="atLeast"/>
        <w:jc w:val="both"/>
        <w:rPr>
          <w:rFonts w:ascii="Times New Roman" w:hAnsi="Times New Roman" w:cs="Times New Roman"/>
          <w:color w:val="000000"/>
          <w:sz w:val="22"/>
          <w:szCs w:val="22"/>
          <w:lang w:eastAsia="fr-FR"/>
        </w:rPr>
      </w:pPr>
    </w:p>
    <w:p w14:paraId="6337E1FF" w14:textId="22292241" w:rsidR="00C62051" w:rsidRPr="003F1F1C" w:rsidRDefault="00A462CD" w:rsidP="00C62051">
      <w:pPr>
        <w:jc w:val="both"/>
        <w:rPr>
          <w:rFonts w:ascii="Times New Roman" w:hAnsi="Times New Roman" w:cs="Times New Roman"/>
          <w:sz w:val="22"/>
          <w:szCs w:val="22"/>
        </w:rPr>
      </w:pPr>
      <w:r w:rsidRPr="00341A37">
        <w:rPr>
          <w:rFonts w:ascii="Times New Roman" w:hAnsi="Times New Roman" w:cs="Times New Roman"/>
          <w:b/>
          <w:sz w:val="22"/>
          <w:szCs w:val="22"/>
        </w:rPr>
        <w:t>Le présent projet d’arrêté vise à</w:t>
      </w:r>
      <w:r w:rsidR="00546F80" w:rsidRPr="00341A37">
        <w:rPr>
          <w:rFonts w:ascii="Times New Roman" w:hAnsi="Times New Roman" w:cs="Times New Roman"/>
          <w:b/>
          <w:sz w:val="22"/>
          <w:szCs w:val="22"/>
        </w:rPr>
        <w:t> </w:t>
      </w:r>
      <w:r w:rsidR="00C62051" w:rsidRPr="00C62051">
        <w:rPr>
          <w:rFonts w:ascii="Times New Roman" w:hAnsi="Times New Roman" w:cs="Times New Roman"/>
          <w:b/>
          <w:bCs/>
          <w:sz w:val="22"/>
          <w:szCs w:val="22"/>
        </w:rPr>
        <w:t>prolonge</w:t>
      </w:r>
      <w:r w:rsidR="00C62051">
        <w:rPr>
          <w:rFonts w:ascii="Times New Roman" w:hAnsi="Times New Roman" w:cs="Times New Roman"/>
          <w:b/>
          <w:bCs/>
          <w:sz w:val="22"/>
          <w:szCs w:val="22"/>
        </w:rPr>
        <w:t>r</w:t>
      </w:r>
      <w:r w:rsidR="00C62051" w:rsidRPr="00C62051">
        <w:rPr>
          <w:rFonts w:ascii="Times New Roman" w:hAnsi="Times New Roman" w:cs="Times New Roman"/>
          <w:b/>
          <w:bCs/>
          <w:sz w:val="22"/>
          <w:szCs w:val="22"/>
        </w:rPr>
        <w:t xml:space="preserve"> </w:t>
      </w:r>
      <w:r w:rsidR="00C62051">
        <w:rPr>
          <w:rFonts w:ascii="Times New Roman" w:hAnsi="Times New Roman" w:cs="Times New Roman"/>
          <w:b/>
          <w:bCs/>
          <w:sz w:val="22"/>
          <w:szCs w:val="22"/>
        </w:rPr>
        <w:t xml:space="preserve">à </w:t>
      </w:r>
      <w:proofErr w:type="spellStart"/>
      <w:r w:rsidR="00C62051">
        <w:rPr>
          <w:rFonts w:ascii="Times New Roman" w:hAnsi="Times New Roman" w:cs="Times New Roman"/>
          <w:b/>
          <w:bCs/>
          <w:sz w:val="22"/>
          <w:szCs w:val="22"/>
        </w:rPr>
        <w:t>isobudget</w:t>
      </w:r>
      <w:proofErr w:type="spellEnd"/>
      <w:r w:rsidR="00C62051">
        <w:rPr>
          <w:rFonts w:ascii="Times New Roman" w:hAnsi="Times New Roman" w:cs="Times New Roman"/>
          <w:b/>
          <w:bCs/>
          <w:sz w:val="22"/>
          <w:szCs w:val="22"/>
        </w:rPr>
        <w:t xml:space="preserve"> </w:t>
      </w:r>
      <w:r w:rsidR="00C62051" w:rsidRPr="00C62051">
        <w:rPr>
          <w:rFonts w:ascii="Times New Roman" w:hAnsi="Times New Roman" w:cs="Times New Roman"/>
          <w:b/>
          <w:bCs/>
          <w:sz w:val="22"/>
          <w:szCs w:val="22"/>
        </w:rPr>
        <w:t xml:space="preserve">le programme </w:t>
      </w:r>
      <w:r w:rsidR="00C62051">
        <w:rPr>
          <w:rFonts w:ascii="Times New Roman" w:hAnsi="Times New Roman" w:cs="Times New Roman"/>
          <w:b/>
          <w:bCs/>
          <w:sz w:val="22"/>
          <w:szCs w:val="22"/>
        </w:rPr>
        <w:t xml:space="preserve">relatif au fonds de garantie de la rénovation </w:t>
      </w:r>
      <w:r w:rsidR="00C62051" w:rsidRPr="00C62051">
        <w:rPr>
          <w:rFonts w:ascii="Times New Roman" w:hAnsi="Times New Roman" w:cs="Times New Roman"/>
          <w:b/>
          <w:bCs/>
          <w:sz w:val="22"/>
          <w:szCs w:val="22"/>
        </w:rPr>
        <w:t xml:space="preserve">"PRO-FGRE" jusqu'au 31 décembre 2026 ainsi que le programme Services Locaux d’Intervention pour la Maitrise de l’Energie « </w:t>
      </w:r>
      <w:proofErr w:type="spellStart"/>
      <w:r w:rsidR="00C62051" w:rsidRPr="00C62051">
        <w:rPr>
          <w:rFonts w:ascii="Times New Roman" w:hAnsi="Times New Roman" w:cs="Times New Roman"/>
          <w:b/>
          <w:bCs/>
          <w:sz w:val="22"/>
          <w:szCs w:val="22"/>
        </w:rPr>
        <w:t>Slime</w:t>
      </w:r>
      <w:proofErr w:type="spellEnd"/>
      <w:r w:rsidR="00C62051" w:rsidRPr="00C62051">
        <w:rPr>
          <w:rFonts w:ascii="Times New Roman" w:hAnsi="Times New Roman" w:cs="Times New Roman"/>
          <w:b/>
          <w:bCs/>
          <w:sz w:val="22"/>
          <w:szCs w:val="22"/>
        </w:rPr>
        <w:t>+ » jusqu’au 31 décembre 2027</w:t>
      </w:r>
      <w:r w:rsidR="003F1F1C">
        <w:rPr>
          <w:rFonts w:ascii="Times New Roman" w:hAnsi="Times New Roman" w:cs="Times New Roman"/>
          <w:b/>
          <w:bCs/>
          <w:sz w:val="22"/>
          <w:szCs w:val="22"/>
        </w:rPr>
        <w:t xml:space="preserve"> </w:t>
      </w:r>
      <w:r w:rsidR="003F1F1C" w:rsidRPr="003F1F1C">
        <w:rPr>
          <w:rFonts w:ascii="Times New Roman" w:hAnsi="Times New Roman" w:cs="Times New Roman"/>
          <w:sz w:val="22"/>
          <w:szCs w:val="22"/>
        </w:rPr>
        <w:t>afin de permettre à ch</w:t>
      </w:r>
      <w:r w:rsidR="00FB31A5">
        <w:rPr>
          <w:rFonts w:ascii="Times New Roman" w:hAnsi="Times New Roman" w:cs="Times New Roman"/>
          <w:sz w:val="22"/>
          <w:szCs w:val="22"/>
        </w:rPr>
        <w:t>a</w:t>
      </w:r>
      <w:r w:rsidR="003F1F1C" w:rsidRPr="003F1F1C">
        <w:rPr>
          <w:rFonts w:ascii="Times New Roman" w:hAnsi="Times New Roman" w:cs="Times New Roman"/>
          <w:sz w:val="22"/>
          <w:szCs w:val="22"/>
        </w:rPr>
        <w:t xml:space="preserve">cun d’entre eux d’atteindre </w:t>
      </w:r>
      <w:r w:rsidR="00FB31A5">
        <w:rPr>
          <w:rFonts w:ascii="Times New Roman" w:hAnsi="Times New Roman" w:cs="Times New Roman"/>
          <w:sz w:val="22"/>
          <w:szCs w:val="22"/>
        </w:rPr>
        <w:t xml:space="preserve">ses </w:t>
      </w:r>
      <w:r w:rsidR="003F1F1C" w:rsidRPr="003F1F1C">
        <w:rPr>
          <w:rFonts w:ascii="Times New Roman" w:hAnsi="Times New Roman" w:cs="Times New Roman"/>
          <w:sz w:val="22"/>
          <w:szCs w:val="22"/>
        </w:rPr>
        <w:t>objectifs</w:t>
      </w:r>
      <w:r w:rsidR="00C62051" w:rsidRPr="003F1F1C">
        <w:rPr>
          <w:rFonts w:ascii="Times New Roman" w:hAnsi="Times New Roman" w:cs="Times New Roman"/>
          <w:sz w:val="22"/>
          <w:szCs w:val="22"/>
        </w:rPr>
        <w:t xml:space="preserve">. </w:t>
      </w:r>
    </w:p>
    <w:p w14:paraId="39E25D70" w14:textId="77777777" w:rsidR="00C62051" w:rsidRDefault="00C62051" w:rsidP="00A462CD">
      <w:pPr>
        <w:suppressAutoHyphens w:val="0"/>
        <w:spacing w:before="80" w:line="198" w:lineRule="atLeast"/>
        <w:jc w:val="both"/>
        <w:rPr>
          <w:rFonts w:ascii="Times New Roman" w:hAnsi="Times New Roman" w:cs="Times New Roman"/>
          <w:b/>
          <w:bCs/>
          <w:sz w:val="22"/>
          <w:szCs w:val="22"/>
        </w:rPr>
      </w:pPr>
    </w:p>
    <w:p w14:paraId="4E1D9070" w14:textId="6CBC4C2A" w:rsidR="00C62051" w:rsidRDefault="00C62051" w:rsidP="00C62051">
      <w:pPr>
        <w:suppressAutoHyphens w:val="0"/>
        <w:spacing w:before="80" w:line="198" w:lineRule="atLeast"/>
        <w:jc w:val="both"/>
        <w:rPr>
          <w:rFonts w:ascii="Times New Roman" w:hAnsi="Times New Roman" w:cs="Times New Roman"/>
          <w:b/>
          <w:bCs/>
          <w:sz w:val="22"/>
          <w:szCs w:val="22"/>
        </w:rPr>
      </w:pPr>
      <w:r>
        <w:rPr>
          <w:rFonts w:ascii="Times New Roman" w:hAnsi="Times New Roman" w:cs="Times New Roman"/>
          <w:b/>
          <w:bCs/>
          <w:sz w:val="22"/>
          <w:szCs w:val="22"/>
        </w:rPr>
        <w:t>L</w:t>
      </w:r>
      <w:r w:rsidRPr="00C62051">
        <w:rPr>
          <w:rFonts w:ascii="Times New Roman" w:hAnsi="Times New Roman" w:cs="Times New Roman"/>
          <w:b/>
          <w:bCs/>
          <w:sz w:val="22"/>
          <w:szCs w:val="22"/>
        </w:rPr>
        <w:t xml:space="preserve">e programme Fonds de Garantie pour la Rénovation Énergétique (FGRE), </w:t>
      </w:r>
      <w:r w:rsidRPr="00C62051">
        <w:rPr>
          <w:rFonts w:ascii="Times New Roman" w:hAnsi="Times New Roman" w:cs="Times New Roman"/>
          <w:sz w:val="22"/>
          <w:szCs w:val="22"/>
        </w:rPr>
        <w:t xml:space="preserve">créé en application de l'article L. 221-7 du code de l’énergie, </w:t>
      </w:r>
      <w:r w:rsidR="005F5BFB" w:rsidRPr="005F5BFB">
        <w:rPr>
          <w:rFonts w:ascii="Times New Roman" w:hAnsi="Times New Roman" w:cs="Times New Roman"/>
          <w:sz w:val="22"/>
          <w:szCs w:val="22"/>
        </w:rPr>
        <w:t xml:space="preserve">doté de 19 M€ </w:t>
      </w:r>
      <w:r w:rsidR="005F5BFB">
        <w:rPr>
          <w:rFonts w:ascii="Times New Roman" w:hAnsi="Times New Roman" w:cs="Times New Roman"/>
          <w:sz w:val="22"/>
          <w:szCs w:val="22"/>
        </w:rPr>
        <w:t xml:space="preserve">et porté par </w:t>
      </w:r>
      <w:r w:rsidR="005F5BFB" w:rsidRPr="005F5BFB">
        <w:rPr>
          <w:rFonts w:ascii="Times New Roman" w:hAnsi="Times New Roman" w:cs="Times New Roman"/>
          <w:sz w:val="22"/>
          <w:szCs w:val="22"/>
        </w:rPr>
        <w:t>la Société de Gestion des Financements et de la Garantie de l’Accession Sociale à la Propriété (SGFGAS)</w:t>
      </w:r>
      <w:r w:rsidR="005F5BFB">
        <w:rPr>
          <w:rFonts w:ascii="Times New Roman" w:hAnsi="Times New Roman" w:cs="Times New Roman"/>
          <w:sz w:val="22"/>
          <w:szCs w:val="22"/>
        </w:rPr>
        <w:t>,</w:t>
      </w:r>
      <w:r w:rsidR="005F5BFB" w:rsidRPr="005F5BFB">
        <w:rPr>
          <w:rFonts w:ascii="Times New Roman" w:hAnsi="Times New Roman" w:cs="Times New Roman"/>
          <w:sz w:val="22"/>
          <w:szCs w:val="22"/>
        </w:rPr>
        <w:t xml:space="preserve"> </w:t>
      </w:r>
      <w:r w:rsidRPr="00C62051">
        <w:rPr>
          <w:rFonts w:ascii="Times New Roman" w:hAnsi="Times New Roman" w:cs="Times New Roman"/>
          <w:sz w:val="22"/>
          <w:szCs w:val="22"/>
        </w:rPr>
        <w:t>vis</w:t>
      </w:r>
      <w:r w:rsidR="005F5BFB">
        <w:rPr>
          <w:rFonts w:ascii="Times New Roman" w:hAnsi="Times New Roman" w:cs="Times New Roman"/>
          <w:sz w:val="22"/>
          <w:szCs w:val="22"/>
        </w:rPr>
        <w:t>e</w:t>
      </w:r>
      <w:r w:rsidRPr="00C62051">
        <w:rPr>
          <w:rFonts w:ascii="Times New Roman" w:hAnsi="Times New Roman" w:cs="Times New Roman"/>
          <w:sz w:val="22"/>
          <w:szCs w:val="22"/>
        </w:rPr>
        <w:t xml:space="preserve"> à garantir et contre-garantir les éco-prêts à taux zéro (éco-PTZ) accordés par les banques aux ménages modestes et aux copropriétaires ainsi que les prêts avance mutation et les prêts avance mutation ne portant pas intérêt</w:t>
      </w:r>
      <w:r w:rsidR="005F5BFB">
        <w:rPr>
          <w:rFonts w:ascii="Times New Roman" w:hAnsi="Times New Roman" w:cs="Times New Roman"/>
          <w:sz w:val="22"/>
          <w:szCs w:val="22"/>
        </w:rPr>
        <w:t xml:space="preserve">. Ce programme </w:t>
      </w:r>
      <w:r w:rsidRPr="00C62051">
        <w:rPr>
          <w:rFonts w:ascii="Times New Roman" w:hAnsi="Times New Roman" w:cs="Times New Roman"/>
          <w:sz w:val="22"/>
          <w:szCs w:val="22"/>
        </w:rPr>
        <w:t xml:space="preserve">doit se terminer fin 2024 où il devrait atteindre une consommation de 12,84 M€ (sur ses 19 M€ de budget). </w:t>
      </w:r>
      <w:r w:rsidRPr="00C62051">
        <w:rPr>
          <w:rFonts w:ascii="Times New Roman" w:hAnsi="Times New Roman" w:cs="Times New Roman"/>
          <w:b/>
          <w:bCs/>
          <w:sz w:val="22"/>
          <w:szCs w:val="22"/>
        </w:rPr>
        <w:t xml:space="preserve">Il est proposé de le prolonger de deux ans </w:t>
      </w:r>
      <w:r>
        <w:rPr>
          <w:rFonts w:ascii="Times New Roman" w:hAnsi="Times New Roman" w:cs="Times New Roman"/>
          <w:b/>
          <w:bCs/>
          <w:sz w:val="22"/>
          <w:szCs w:val="22"/>
        </w:rPr>
        <w:t xml:space="preserve">jusqu’à fin 2026 </w:t>
      </w:r>
      <w:r w:rsidRPr="00C62051">
        <w:rPr>
          <w:rFonts w:ascii="Times New Roman" w:hAnsi="Times New Roman" w:cs="Times New Roman"/>
          <w:b/>
          <w:bCs/>
          <w:sz w:val="22"/>
          <w:szCs w:val="22"/>
        </w:rPr>
        <w:t>afin de lui laisser le temps de consommer le budget restant.</w:t>
      </w:r>
    </w:p>
    <w:p w14:paraId="365D0158" w14:textId="77777777" w:rsidR="003F1F1C" w:rsidRPr="00C62051" w:rsidRDefault="003F1F1C" w:rsidP="00C62051">
      <w:pPr>
        <w:suppressAutoHyphens w:val="0"/>
        <w:spacing w:before="80" w:line="198" w:lineRule="atLeast"/>
        <w:jc w:val="both"/>
        <w:rPr>
          <w:rFonts w:ascii="Times New Roman" w:hAnsi="Times New Roman" w:cs="Times New Roman"/>
          <w:b/>
          <w:bCs/>
          <w:sz w:val="22"/>
          <w:szCs w:val="22"/>
        </w:rPr>
      </w:pPr>
    </w:p>
    <w:p w14:paraId="78D16334" w14:textId="1F13EE75" w:rsidR="00C62051" w:rsidRPr="00C62051" w:rsidRDefault="00C62051" w:rsidP="00C62051">
      <w:pPr>
        <w:suppressAutoHyphens w:val="0"/>
        <w:spacing w:before="80" w:line="198" w:lineRule="atLeast"/>
        <w:jc w:val="both"/>
        <w:rPr>
          <w:rFonts w:ascii="Times New Roman" w:hAnsi="Times New Roman" w:cs="Times New Roman"/>
          <w:sz w:val="22"/>
          <w:szCs w:val="22"/>
        </w:rPr>
      </w:pPr>
      <w:r w:rsidRPr="00C62051">
        <w:rPr>
          <w:rFonts w:ascii="Times New Roman" w:hAnsi="Times New Roman" w:cs="Times New Roman"/>
          <w:b/>
          <w:bCs/>
          <w:sz w:val="22"/>
          <w:szCs w:val="22"/>
        </w:rPr>
        <w:t xml:space="preserve">Le programme SLIME + </w:t>
      </w:r>
      <w:r w:rsidRPr="00C62051">
        <w:rPr>
          <w:rFonts w:ascii="Times New Roman" w:hAnsi="Times New Roman" w:cs="Times New Roman"/>
          <w:sz w:val="22"/>
          <w:szCs w:val="22"/>
        </w:rPr>
        <w:t xml:space="preserve">porté par le </w:t>
      </w:r>
      <w:proofErr w:type="spellStart"/>
      <w:r w:rsidRPr="00C62051">
        <w:rPr>
          <w:rFonts w:ascii="Times New Roman" w:hAnsi="Times New Roman" w:cs="Times New Roman"/>
          <w:sz w:val="22"/>
          <w:szCs w:val="22"/>
        </w:rPr>
        <w:t>Cler</w:t>
      </w:r>
      <w:proofErr w:type="spellEnd"/>
      <w:r w:rsidRPr="00C62051">
        <w:rPr>
          <w:rFonts w:ascii="Times New Roman" w:hAnsi="Times New Roman" w:cs="Times New Roman"/>
          <w:sz w:val="22"/>
          <w:szCs w:val="22"/>
        </w:rPr>
        <w:t xml:space="preserve"> et financé avec des CEE précarité, vise à massifier le repérage des ménages en situation de précarité énergétique, quel que soit leur statut d’occupation, afin de qualifier leur situation avant de les orienter et les accompagner vers les solutions adaptées. Il doit se terminer fin 2025 et il est proposé de le prolonger de deux ans </w:t>
      </w:r>
      <w:r>
        <w:rPr>
          <w:rFonts w:ascii="Times New Roman" w:hAnsi="Times New Roman" w:cs="Times New Roman"/>
          <w:sz w:val="22"/>
          <w:szCs w:val="22"/>
        </w:rPr>
        <w:t xml:space="preserve">jusqu’à fin 2027 </w:t>
      </w:r>
      <w:r w:rsidRPr="00C62051">
        <w:rPr>
          <w:rFonts w:ascii="Times New Roman" w:hAnsi="Times New Roman" w:cs="Times New Roman"/>
          <w:sz w:val="22"/>
          <w:szCs w:val="22"/>
        </w:rPr>
        <w:t>à iso-budget afin de lui laisser le temps d'atteindre ses objectifs.</w:t>
      </w:r>
    </w:p>
    <w:p w14:paraId="5515FD4C" w14:textId="77777777" w:rsidR="00C62051" w:rsidRDefault="00C62051" w:rsidP="00A462CD">
      <w:pPr>
        <w:suppressAutoHyphens w:val="0"/>
        <w:spacing w:before="80" w:line="198" w:lineRule="atLeast"/>
        <w:jc w:val="both"/>
        <w:rPr>
          <w:rFonts w:ascii="Times New Roman" w:hAnsi="Times New Roman" w:cs="Times New Roman"/>
          <w:b/>
          <w:bCs/>
          <w:sz w:val="22"/>
          <w:szCs w:val="22"/>
        </w:rPr>
      </w:pPr>
    </w:p>
    <w:p w14:paraId="57D90907" w14:textId="77777777" w:rsidR="00C62051" w:rsidRDefault="00C62051" w:rsidP="00A462CD">
      <w:pPr>
        <w:suppressAutoHyphens w:val="0"/>
        <w:spacing w:before="80" w:line="198" w:lineRule="atLeast"/>
        <w:jc w:val="both"/>
        <w:rPr>
          <w:rFonts w:ascii="Times New Roman" w:hAnsi="Times New Roman" w:cs="Times New Roman"/>
          <w:b/>
          <w:bCs/>
          <w:sz w:val="22"/>
          <w:szCs w:val="22"/>
        </w:rPr>
      </w:pPr>
    </w:p>
    <w:p w14:paraId="6CE2EE8E" w14:textId="77777777" w:rsidR="00C62051" w:rsidRDefault="00C62051" w:rsidP="00A462CD">
      <w:pPr>
        <w:suppressAutoHyphens w:val="0"/>
        <w:spacing w:before="80" w:line="198" w:lineRule="atLeast"/>
        <w:jc w:val="both"/>
        <w:rPr>
          <w:rFonts w:ascii="Times New Roman" w:hAnsi="Times New Roman" w:cs="Times New Roman"/>
          <w:b/>
          <w:bCs/>
          <w:sz w:val="22"/>
          <w:szCs w:val="22"/>
        </w:rPr>
      </w:pPr>
    </w:p>
    <w:p w14:paraId="3E89B541" w14:textId="77777777" w:rsidR="003A47FD" w:rsidRPr="003A47FD" w:rsidRDefault="003A47FD" w:rsidP="003A47FD">
      <w:pPr>
        <w:suppressAutoHyphens w:val="0"/>
        <w:spacing w:before="80" w:line="198" w:lineRule="atLeast"/>
        <w:jc w:val="both"/>
        <w:rPr>
          <w:rFonts w:ascii="Times New Roman" w:hAnsi="Times New Roman" w:cs="Times New Roman"/>
          <w:sz w:val="22"/>
          <w:szCs w:val="22"/>
        </w:rPr>
      </w:pPr>
    </w:p>
    <w:sectPr w:rsidR="003A47FD" w:rsidRPr="003A47FD">
      <w:footerReference w:type="default" r:id="rId8"/>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0073" w14:textId="77777777" w:rsidR="00010EFC" w:rsidRDefault="00010EFC">
      <w:r>
        <w:separator/>
      </w:r>
    </w:p>
  </w:endnote>
  <w:endnote w:type="continuationSeparator" w:id="0">
    <w:p w14:paraId="64C586B8" w14:textId="77777777" w:rsidR="00010EFC" w:rsidRDefault="00010E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Medium">
    <w:charset w:val="00"/>
    <w:family w:val="auto"/>
    <w:pitch w:val="variable"/>
    <w:sig w:usb0="2000020F" w:usb1="00000003" w:usb2="00000000" w:usb3="00000000" w:csb0="00000197" w:csb1="00000000"/>
  </w:font>
  <w:font w:name="Calibri">
    <w:panose1 w:val="020F0502020204030204"/>
    <w:charset w:val="00"/>
    <w:family w:val="swiss"/>
    <w:pitch w:val="variable"/>
    <w:sig w:usb0="E0002AFF" w:usb1="4000ACFF" w:usb2="00000001"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91CE8" w14:textId="6C199485" w:rsidR="00AD38C4" w:rsidRDefault="00A462CD">
    <w:pPr>
      <w:pStyle w:val="Pieddepage"/>
      <w:jc w:val="right"/>
    </w:pPr>
    <w:r>
      <w:fldChar w:fldCharType="begin"/>
    </w:r>
    <w:r>
      <w:instrText>PAGE   \* MERGEFORMAT</w:instrText>
    </w:r>
    <w:r>
      <w:fldChar w:fldCharType="separate"/>
    </w:r>
    <w:r w:rsidR="00A0039F">
      <w:rPr>
        <w:noProof/>
      </w:rPr>
      <w:t>1</w:t>
    </w:r>
    <w:r>
      <w:fldChar w:fldCharType="end"/>
    </w:r>
  </w:p>
  <w:p w14:paraId="1326E5EC" w14:textId="77777777" w:rsidR="00AD38C4" w:rsidRDefault="00010EF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92CE4" w14:textId="77777777" w:rsidR="00010EFC" w:rsidRDefault="00010EFC">
      <w:r>
        <w:separator/>
      </w:r>
    </w:p>
  </w:footnote>
  <w:footnote w:type="continuationSeparator" w:id="0">
    <w:p w14:paraId="697CFEAB" w14:textId="77777777" w:rsidR="00010EFC" w:rsidRDefault="00010E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7279F"/>
    <w:multiLevelType w:val="hybridMultilevel"/>
    <w:tmpl w:val="7D9E86EC"/>
    <w:lvl w:ilvl="0" w:tplc="D976280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7BC205F"/>
    <w:multiLevelType w:val="hybridMultilevel"/>
    <w:tmpl w:val="2E5856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EA3FA7"/>
    <w:multiLevelType w:val="hybridMultilevel"/>
    <w:tmpl w:val="447CB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C710FF"/>
    <w:multiLevelType w:val="hybridMultilevel"/>
    <w:tmpl w:val="D19AB84A"/>
    <w:lvl w:ilvl="0" w:tplc="44D8903C">
      <w:numFmt w:val="bullet"/>
      <w:lvlText w:val="-"/>
      <w:lvlJc w:val="left"/>
      <w:pPr>
        <w:ind w:left="720" w:hanging="360"/>
      </w:pPr>
      <w:rPr>
        <w:rFonts w:ascii="Times New Roman" w:eastAsia="Montserrat Medium"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ABE7E17"/>
    <w:multiLevelType w:val="hybridMultilevel"/>
    <w:tmpl w:val="BCE643BC"/>
    <w:lvl w:ilvl="0" w:tplc="D550D682">
      <w:start w:val="3"/>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C2710E2"/>
    <w:multiLevelType w:val="hybridMultilevel"/>
    <w:tmpl w:val="9294BFBA"/>
    <w:lvl w:ilvl="0" w:tplc="558C4056">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5471001"/>
    <w:multiLevelType w:val="hybridMultilevel"/>
    <w:tmpl w:val="64882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0C63676"/>
    <w:multiLevelType w:val="hybridMultilevel"/>
    <w:tmpl w:val="F9908E02"/>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8" w15:restartNumberingAfterBreak="0">
    <w:nsid w:val="749B2674"/>
    <w:multiLevelType w:val="hybridMultilevel"/>
    <w:tmpl w:val="D32E0130"/>
    <w:lvl w:ilvl="0" w:tplc="040C0001">
      <w:start w:val="1"/>
      <w:numFmt w:val="bullet"/>
      <w:lvlText w:val=""/>
      <w:lvlJc w:val="left"/>
      <w:pPr>
        <w:ind w:left="720" w:hanging="360"/>
      </w:pPr>
      <w:rPr>
        <w:rFonts w:ascii="Symbol" w:hAnsi="Symbol" w:hint="default"/>
      </w:rPr>
    </w:lvl>
    <w:lvl w:ilvl="1" w:tplc="2BD86D5A">
      <w:start w:val="650"/>
      <w:numFmt w:val="bullet"/>
      <w:lvlText w:val="-"/>
      <w:lvlJc w:val="left"/>
      <w:pPr>
        <w:ind w:left="1800" w:hanging="720"/>
      </w:pPr>
      <w:rPr>
        <w:rFonts w:ascii="Times New Roman" w:eastAsia="SimSun"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6"/>
  </w:num>
  <w:num w:numId="5">
    <w:abstractNumId w:val="4"/>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CD"/>
    <w:rsid w:val="00010EFC"/>
    <w:rsid w:val="00037BC0"/>
    <w:rsid w:val="000C1BFD"/>
    <w:rsid w:val="0011717D"/>
    <w:rsid w:val="00190227"/>
    <w:rsid w:val="003069B3"/>
    <w:rsid w:val="00341A37"/>
    <w:rsid w:val="00370088"/>
    <w:rsid w:val="0037598D"/>
    <w:rsid w:val="003A47FD"/>
    <w:rsid w:val="003F1F1C"/>
    <w:rsid w:val="00417EBF"/>
    <w:rsid w:val="00461F19"/>
    <w:rsid w:val="00484E22"/>
    <w:rsid w:val="00524DED"/>
    <w:rsid w:val="00546F80"/>
    <w:rsid w:val="0055350D"/>
    <w:rsid w:val="005715BB"/>
    <w:rsid w:val="00587AE2"/>
    <w:rsid w:val="005925DB"/>
    <w:rsid w:val="005F5BFB"/>
    <w:rsid w:val="00621882"/>
    <w:rsid w:val="00653195"/>
    <w:rsid w:val="0066455B"/>
    <w:rsid w:val="00704E88"/>
    <w:rsid w:val="00816FA6"/>
    <w:rsid w:val="00826BBA"/>
    <w:rsid w:val="008561F1"/>
    <w:rsid w:val="008828A2"/>
    <w:rsid w:val="008C6485"/>
    <w:rsid w:val="00912371"/>
    <w:rsid w:val="00986AA6"/>
    <w:rsid w:val="00A0039F"/>
    <w:rsid w:val="00A462CD"/>
    <w:rsid w:val="00A82A24"/>
    <w:rsid w:val="00AA3BDA"/>
    <w:rsid w:val="00AB615C"/>
    <w:rsid w:val="00AB6E4C"/>
    <w:rsid w:val="00B94BDD"/>
    <w:rsid w:val="00BD3D8A"/>
    <w:rsid w:val="00C12FE6"/>
    <w:rsid w:val="00C347CC"/>
    <w:rsid w:val="00C4509D"/>
    <w:rsid w:val="00C62051"/>
    <w:rsid w:val="00C7097B"/>
    <w:rsid w:val="00CC75DF"/>
    <w:rsid w:val="00D4360E"/>
    <w:rsid w:val="00DA14D3"/>
    <w:rsid w:val="00DC1989"/>
    <w:rsid w:val="00DF32A0"/>
    <w:rsid w:val="00E71CA0"/>
    <w:rsid w:val="00E721B6"/>
    <w:rsid w:val="00F316F4"/>
    <w:rsid w:val="00F958A7"/>
    <w:rsid w:val="00FB31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9E8E8"/>
  <w15:chartTrackingRefBased/>
  <w15:docId w15:val="{F901664B-D73C-436F-9759-A52866F79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62CD"/>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A462CD"/>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Corpsdetexte11pt">
    <w:name w:val="Corps de texte + 11 pt"/>
    <w:basedOn w:val="Normal"/>
    <w:rsid w:val="00A462CD"/>
    <w:pPr>
      <w:widowControl/>
      <w:spacing w:after="120"/>
      <w:jc w:val="both"/>
    </w:pPr>
    <w:rPr>
      <w:rFonts w:ascii="Times New Roman" w:eastAsia="Times New Roman" w:hAnsi="Times New Roman" w:cs="Times New Roman"/>
      <w:color w:val="000000"/>
      <w:sz w:val="22"/>
      <w:szCs w:val="22"/>
      <w:lang w:bidi="ar-SA"/>
    </w:rPr>
  </w:style>
  <w:style w:type="paragraph" w:customStyle="1" w:styleId="Standarduser">
    <w:name w:val="Standard (user)"/>
    <w:rsid w:val="00A462CD"/>
    <w:pPr>
      <w:suppressAutoHyphens/>
      <w:autoSpaceDN w:val="0"/>
      <w:spacing w:after="60" w:line="240" w:lineRule="auto"/>
      <w:jc w:val="both"/>
      <w:textAlignment w:val="baseline"/>
    </w:pPr>
    <w:rPr>
      <w:rFonts w:ascii="Arial" w:eastAsia="Times New Roman" w:hAnsi="Arial" w:cs="Arial"/>
      <w:color w:val="00000A"/>
      <w:kern w:val="3"/>
      <w:szCs w:val="20"/>
      <w:lang w:eastAsia="zh-CN"/>
    </w:rPr>
  </w:style>
  <w:style w:type="paragraph" w:styleId="Paragraphedeliste">
    <w:name w:val="List Paragraph"/>
    <w:basedOn w:val="Normal"/>
    <w:uiPriority w:val="34"/>
    <w:qFormat/>
    <w:rsid w:val="00A462CD"/>
    <w:pPr>
      <w:ind w:left="720"/>
      <w:contextualSpacing/>
    </w:pPr>
    <w:rPr>
      <w:szCs w:val="21"/>
    </w:rPr>
  </w:style>
  <w:style w:type="paragraph" w:styleId="Pieddepage">
    <w:name w:val="footer"/>
    <w:basedOn w:val="Normal"/>
    <w:link w:val="PieddepageCar"/>
    <w:uiPriority w:val="99"/>
    <w:unhideWhenUsed/>
    <w:rsid w:val="00A462CD"/>
    <w:pPr>
      <w:tabs>
        <w:tab w:val="center" w:pos="4536"/>
        <w:tab w:val="right" w:pos="9072"/>
      </w:tabs>
    </w:pPr>
    <w:rPr>
      <w:szCs w:val="21"/>
    </w:rPr>
  </w:style>
  <w:style w:type="character" w:customStyle="1" w:styleId="PieddepageCar">
    <w:name w:val="Pied de page Car"/>
    <w:basedOn w:val="Policepardfaut"/>
    <w:link w:val="Pieddepage"/>
    <w:uiPriority w:val="99"/>
    <w:rsid w:val="00A462CD"/>
    <w:rPr>
      <w:rFonts w:ascii="Liberation Serif" w:eastAsia="SimSun" w:hAnsi="Liberation Serif"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F9D6F-A193-4701-BDC5-511E1D9BD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1760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MARGUERET Armelle</dc:creator>
  <cp:keywords/>
  <dc:description/>
  <cp:lastModifiedBy>Coralie Ruffenach</cp:lastModifiedBy>
  <cp:revision>2</cp:revision>
  <dcterms:created xsi:type="dcterms:W3CDTF">2024-12-04T16:26:00Z</dcterms:created>
  <dcterms:modified xsi:type="dcterms:W3CDTF">2024-12-04T16:26:00Z</dcterms:modified>
</cp:coreProperties>
</file>