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975"/>
        <w:gridCol w:w="1488"/>
      </w:tblGrid>
      <w:tr w:rsidR="005B42B2" w:rsidRPr="00FD09F4" w14:paraId="221352F2" w14:textId="77777777" w:rsidTr="00B261E0">
        <w:tc>
          <w:tcPr>
            <w:tcW w:w="3993" w:type="dxa"/>
            <w:gridSpan w:val="3"/>
          </w:tcPr>
          <w:p w14:paraId="16CF1989" w14:textId="77777777" w:rsidR="005B42B2" w:rsidRPr="00FD09F4" w:rsidRDefault="005B42B2" w:rsidP="00B261E0">
            <w:pPr>
              <w:pStyle w:val="Contenudetableau"/>
              <w:snapToGrid w:val="0"/>
              <w:jc w:val="center"/>
            </w:pPr>
            <w:r w:rsidRPr="00FD09F4">
              <w:rPr>
                <w:b/>
                <w:bCs/>
                <w:color w:val="000000"/>
              </w:rPr>
              <w:t>RÉPUBLIQUE FRANÇAISE</w:t>
            </w:r>
          </w:p>
        </w:tc>
      </w:tr>
      <w:tr w:rsidR="005B42B2" w:rsidRPr="00FD09F4" w14:paraId="3560746B" w14:textId="77777777" w:rsidTr="00B261E0">
        <w:tc>
          <w:tcPr>
            <w:tcW w:w="1530" w:type="dxa"/>
          </w:tcPr>
          <w:p w14:paraId="5A61CDE7" w14:textId="77777777" w:rsidR="005B42B2" w:rsidRPr="00FD09F4" w:rsidRDefault="005B42B2" w:rsidP="00B261E0">
            <w:pPr>
              <w:pStyle w:val="Contenudetableau"/>
              <w:snapToGrid w:val="0"/>
              <w:jc w:val="center"/>
            </w:pPr>
            <w:r w:rsidRPr="00FD09F4">
              <w:t> </w:t>
            </w:r>
          </w:p>
        </w:tc>
        <w:tc>
          <w:tcPr>
            <w:tcW w:w="975" w:type="dxa"/>
          </w:tcPr>
          <w:p w14:paraId="7524F566" w14:textId="77777777" w:rsidR="005B42B2" w:rsidRPr="00FD09F4" w:rsidRDefault="005B42B2" w:rsidP="00B261E0">
            <w:pPr>
              <w:pStyle w:val="Contenudetableau"/>
              <w:pBdr>
                <w:bottom w:val="single" w:sz="8" w:space="1" w:color="000001"/>
              </w:pBdr>
              <w:snapToGrid w:val="0"/>
              <w:jc w:val="center"/>
            </w:pPr>
            <w:r w:rsidRPr="00FD09F4">
              <w:t> </w:t>
            </w:r>
          </w:p>
        </w:tc>
        <w:tc>
          <w:tcPr>
            <w:tcW w:w="1488" w:type="dxa"/>
          </w:tcPr>
          <w:p w14:paraId="25E74C22" w14:textId="77777777" w:rsidR="005B42B2" w:rsidRPr="00FD09F4" w:rsidRDefault="005B42B2" w:rsidP="00B261E0">
            <w:pPr>
              <w:pStyle w:val="Contenudetableau"/>
              <w:snapToGrid w:val="0"/>
              <w:jc w:val="center"/>
            </w:pPr>
            <w:r w:rsidRPr="00FD09F4">
              <w:t> </w:t>
            </w:r>
          </w:p>
        </w:tc>
      </w:tr>
      <w:tr w:rsidR="005B42B2" w:rsidRPr="00FD09F4" w14:paraId="648F13F5" w14:textId="77777777" w:rsidTr="00B261E0">
        <w:tc>
          <w:tcPr>
            <w:tcW w:w="3993" w:type="dxa"/>
            <w:gridSpan w:val="3"/>
          </w:tcPr>
          <w:p w14:paraId="505EEBF6" w14:textId="1277403D" w:rsidR="005B42B2" w:rsidRPr="00FD09F4" w:rsidRDefault="00A24CBE" w:rsidP="00D4230C">
            <w:pPr>
              <w:pStyle w:val="Contenudetableau"/>
              <w:snapToGrid w:val="0"/>
              <w:spacing w:before="120"/>
              <w:jc w:val="center"/>
            </w:pPr>
            <w:r>
              <w:t xml:space="preserve">Ministère de </w:t>
            </w:r>
            <w:bookmarkStart w:id="0" w:name="_Hlk179448695"/>
            <w:r w:rsidR="003D549D">
              <w:t>la Transition écologique, de l’Energie, du Climat et de la Prévention des risques</w:t>
            </w:r>
            <w:bookmarkEnd w:id="0"/>
          </w:p>
        </w:tc>
      </w:tr>
      <w:tr w:rsidR="005B42B2" w:rsidRPr="00FD09F4" w14:paraId="5D5B85E5" w14:textId="77777777" w:rsidTr="00B261E0">
        <w:tc>
          <w:tcPr>
            <w:tcW w:w="1530" w:type="dxa"/>
          </w:tcPr>
          <w:p w14:paraId="5FFD84CE" w14:textId="77777777" w:rsidR="005B42B2" w:rsidRPr="00FD09F4" w:rsidRDefault="005B42B2" w:rsidP="00B261E0">
            <w:pPr>
              <w:pStyle w:val="Contenudetableau"/>
              <w:snapToGrid w:val="0"/>
              <w:jc w:val="center"/>
            </w:pPr>
            <w:r w:rsidRPr="00FD09F4">
              <w:t> </w:t>
            </w:r>
          </w:p>
        </w:tc>
        <w:tc>
          <w:tcPr>
            <w:tcW w:w="975" w:type="dxa"/>
          </w:tcPr>
          <w:p w14:paraId="1BDCB4C5" w14:textId="77777777" w:rsidR="005B42B2" w:rsidRPr="00FD09F4" w:rsidRDefault="005B42B2" w:rsidP="00B261E0">
            <w:pPr>
              <w:pStyle w:val="Contenudetableau"/>
              <w:pBdr>
                <w:bottom w:val="single" w:sz="8" w:space="1" w:color="000001"/>
              </w:pBdr>
              <w:snapToGrid w:val="0"/>
              <w:jc w:val="center"/>
            </w:pPr>
            <w:r w:rsidRPr="00FD09F4">
              <w:t> </w:t>
            </w:r>
          </w:p>
        </w:tc>
        <w:tc>
          <w:tcPr>
            <w:tcW w:w="1488" w:type="dxa"/>
          </w:tcPr>
          <w:p w14:paraId="7D0FAC8D" w14:textId="77777777" w:rsidR="005B42B2" w:rsidRPr="00FD09F4" w:rsidRDefault="005B42B2" w:rsidP="00B261E0">
            <w:pPr>
              <w:pStyle w:val="Contenudetableau"/>
              <w:snapToGrid w:val="0"/>
              <w:jc w:val="center"/>
            </w:pPr>
            <w:r w:rsidRPr="00FD09F4">
              <w:t> </w:t>
            </w:r>
          </w:p>
        </w:tc>
      </w:tr>
      <w:tr w:rsidR="005B42B2" w:rsidRPr="00FD09F4" w14:paraId="329AD606" w14:textId="77777777" w:rsidTr="00B261E0">
        <w:tc>
          <w:tcPr>
            <w:tcW w:w="1530" w:type="dxa"/>
          </w:tcPr>
          <w:p w14:paraId="1B2C98F5" w14:textId="77777777" w:rsidR="005B42B2" w:rsidRPr="00FD09F4" w:rsidRDefault="005B42B2" w:rsidP="00B261E0">
            <w:pPr>
              <w:pStyle w:val="Contenudetableau"/>
              <w:snapToGrid w:val="0"/>
              <w:jc w:val="center"/>
            </w:pPr>
            <w:r w:rsidRPr="00FD09F4">
              <w:t> </w:t>
            </w:r>
          </w:p>
        </w:tc>
        <w:tc>
          <w:tcPr>
            <w:tcW w:w="975" w:type="dxa"/>
          </w:tcPr>
          <w:p w14:paraId="18F49EA9" w14:textId="77777777" w:rsidR="005B42B2" w:rsidRPr="00FD09F4" w:rsidRDefault="005B42B2" w:rsidP="00B261E0">
            <w:pPr>
              <w:pStyle w:val="Contenudetableau"/>
              <w:snapToGrid w:val="0"/>
              <w:jc w:val="center"/>
            </w:pPr>
            <w:r w:rsidRPr="00FD09F4">
              <w:t> </w:t>
            </w:r>
          </w:p>
        </w:tc>
        <w:tc>
          <w:tcPr>
            <w:tcW w:w="1488" w:type="dxa"/>
          </w:tcPr>
          <w:p w14:paraId="7B7780F3" w14:textId="77777777" w:rsidR="005B42B2" w:rsidRPr="00FD09F4" w:rsidRDefault="005B42B2" w:rsidP="00B261E0">
            <w:pPr>
              <w:pStyle w:val="Contenudetableau"/>
              <w:snapToGrid w:val="0"/>
              <w:jc w:val="center"/>
            </w:pPr>
            <w:r w:rsidRPr="00FD09F4">
              <w:t> </w:t>
            </w:r>
          </w:p>
        </w:tc>
      </w:tr>
    </w:tbl>
    <w:p w14:paraId="791185CF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74A0A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F03494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1DEE87" w14:textId="2DB98B49" w:rsidR="0016168D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09F4">
        <w:rPr>
          <w:rFonts w:ascii="Times New Roman" w:hAnsi="Times New Roman"/>
          <w:b/>
          <w:bCs/>
          <w:sz w:val="24"/>
          <w:szCs w:val="24"/>
        </w:rPr>
        <w:t xml:space="preserve">Arrêté </w:t>
      </w:r>
      <w:r w:rsidR="0016168D" w:rsidRPr="00FD09F4">
        <w:rPr>
          <w:rFonts w:ascii="Times New Roman" w:hAnsi="Times New Roman"/>
          <w:b/>
          <w:bCs/>
          <w:sz w:val="24"/>
          <w:szCs w:val="24"/>
        </w:rPr>
        <w:t xml:space="preserve">du </w:t>
      </w:r>
      <w:r w:rsidR="008639C5">
        <w:rPr>
          <w:rFonts w:ascii="Times New Roman" w:hAnsi="Times New Roman"/>
          <w:b/>
          <w:bCs/>
          <w:sz w:val="24"/>
          <w:szCs w:val="24"/>
        </w:rPr>
        <w:t>xxx</w:t>
      </w:r>
    </w:p>
    <w:p w14:paraId="4A5485F0" w14:textId="512D41B6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D09F4">
        <w:rPr>
          <w:rFonts w:ascii="Times New Roman" w:hAnsi="Times New Roman"/>
          <w:b/>
          <w:bCs/>
          <w:sz w:val="24"/>
          <w:szCs w:val="24"/>
        </w:rPr>
        <w:t>portant</w:t>
      </w:r>
      <w:proofErr w:type="gramEnd"/>
      <w:r w:rsidRPr="00FD09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4E89">
        <w:rPr>
          <w:rFonts w:ascii="Times New Roman" w:hAnsi="Times New Roman"/>
          <w:b/>
          <w:bCs/>
          <w:sz w:val="24"/>
          <w:szCs w:val="24"/>
        </w:rPr>
        <w:t xml:space="preserve">modification </w:t>
      </w:r>
      <w:r w:rsidRPr="00FD09F4">
        <w:rPr>
          <w:rFonts w:ascii="Times New Roman" w:hAnsi="Times New Roman"/>
          <w:b/>
          <w:bCs/>
          <w:sz w:val="24"/>
          <w:szCs w:val="24"/>
        </w:rPr>
        <w:t>de programmes dans le cadre du dispositif des certificats d’économies d’énergie</w:t>
      </w:r>
    </w:p>
    <w:p w14:paraId="27A31A50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</w:p>
    <w:p w14:paraId="37352589" w14:textId="10C675AC" w:rsidR="005B42B2" w:rsidRPr="004E27FC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27FC">
        <w:rPr>
          <w:rFonts w:ascii="Times New Roman" w:hAnsi="Times New Roman"/>
          <w:b/>
          <w:bCs/>
          <w:color w:val="000000"/>
          <w:sz w:val="24"/>
          <w:szCs w:val="24"/>
        </w:rPr>
        <w:t xml:space="preserve">NOR : </w:t>
      </w:r>
      <w:r w:rsidR="00253A7E" w:rsidRPr="00253A7E">
        <w:rPr>
          <w:rFonts w:ascii="Times New Roman" w:hAnsi="Times New Roman"/>
          <w:b/>
          <w:bCs/>
          <w:color w:val="000000"/>
          <w:sz w:val="24"/>
          <w:szCs w:val="24"/>
        </w:rPr>
        <w:t>TECR2433038A</w:t>
      </w:r>
    </w:p>
    <w:p w14:paraId="0CEDD4A3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</w:p>
    <w:p w14:paraId="1B0318DB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 </w:t>
      </w:r>
    </w:p>
    <w:p w14:paraId="60DD4068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</w:p>
    <w:p w14:paraId="22FCAE20" w14:textId="77777777" w:rsidR="005B42B2" w:rsidRPr="00FD09F4" w:rsidRDefault="005B42B2" w:rsidP="00B7082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  <w:r w:rsidRPr="00FD09F4">
        <w:rPr>
          <w:rFonts w:ascii="Times New Roman" w:hAnsi="Times New Roman"/>
          <w:b/>
          <w:i/>
          <w:sz w:val="24"/>
          <w:szCs w:val="24"/>
        </w:rPr>
        <w:t>Publics concernés :</w:t>
      </w:r>
      <w:r w:rsidRPr="00FD09F4">
        <w:rPr>
          <w:rFonts w:ascii="Times New Roman" w:hAnsi="Times New Roman"/>
          <w:i/>
          <w:sz w:val="24"/>
          <w:szCs w:val="24"/>
        </w:rPr>
        <w:t xml:space="preserve"> porteurs de programmes, bénéficiaires et demandeurs éligibles dans le cadre du dispositif des certificats d’économies d’énergie.</w:t>
      </w:r>
    </w:p>
    <w:p w14:paraId="52B0BB05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i/>
          <w:sz w:val="24"/>
          <w:szCs w:val="24"/>
        </w:rPr>
      </w:pPr>
    </w:p>
    <w:p w14:paraId="61038DE6" w14:textId="4228FAF6" w:rsidR="005B42B2" w:rsidRPr="00FD09F4" w:rsidRDefault="005B42B2" w:rsidP="00B7082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FD09F4">
        <w:rPr>
          <w:rFonts w:ascii="Times New Roman" w:hAnsi="Times New Roman"/>
          <w:b/>
          <w:i/>
          <w:sz w:val="24"/>
          <w:szCs w:val="24"/>
        </w:rPr>
        <w:t>Objet :</w:t>
      </w:r>
      <w:r w:rsidRPr="00FD09F4">
        <w:rPr>
          <w:rFonts w:ascii="Times New Roman" w:hAnsi="Times New Roman"/>
          <w:i/>
          <w:sz w:val="24"/>
          <w:szCs w:val="24"/>
        </w:rPr>
        <w:t xml:space="preserve"> </w:t>
      </w:r>
      <w:r w:rsidR="00CC0A88">
        <w:rPr>
          <w:rFonts w:ascii="Times New Roman" w:hAnsi="Times New Roman"/>
          <w:i/>
          <w:sz w:val="24"/>
          <w:szCs w:val="24"/>
        </w:rPr>
        <w:t>M</w:t>
      </w:r>
      <w:r w:rsidR="00964E89">
        <w:rPr>
          <w:rFonts w:ascii="Times New Roman" w:hAnsi="Times New Roman"/>
          <w:i/>
          <w:sz w:val="24"/>
          <w:szCs w:val="24"/>
        </w:rPr>
        <w:t xml:space="preserve">odification </w:t>
      </w:r>
      <w:r w:rsidR="00AD6859" w:rsidRPr="00FD09F4">
        <w:rPr>
          <w:rFonts w:ascii="Times New Roman" w:hAnsi="Times New Roman"/>
          <w:i/>
          <w:sz w:val="24"/>
          <w:szCs w:val="24"/>
        </w:rPr>
        <w:t>de</w:t>
      </w:r>
      <w:r w:rsidR="002E2E48" w:rsidRPr="00FD09F4">
        <w:rPr>
          <w:rFonts w:ascii="Times New Roman" w:hAnsi="Times New Roman"/>
          <w:i/>
          <w:sz w:val="24"/>
          <w:szCs w:val="24"/>
        </w:rPr>
        <w:t xml:space="preserve"> programme</w:t>
      </w:r>
      <w:r w:rsidR="00AD6859" w:rsidRPr="00FD09F4">
        <w:rPr>
          <w:rFonts w:ascii="Times New Roman" w:hAnsi="Times New Roman"/>
          <w:i/>
          <w:sz w:val="24"/>
          <w:szCs w:val="24"/>
        </w:rPr>
        <w:t>s</w:t>
      </w:r>
      <w:r w:rsidRPr="00FD09F4">
        <w:rPr>
          <w:rFonts w:ascii="Times New Roman" w:hAnsi="Times New Roman"/>
          <w:i/>
          <w:sz w:val="24"/>
          <w:szCs w:val="24"/>
        </w:rPr>
        <w:t xml:space="preserve"> d’accompagnement en faveur des économies d’énergie dans le cadre du dispositif des certificats d’économies d’énergie.</w:t>
      </w:r>
    </w:p>
    <w:p w14:paraId="60679DA6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i/>
          <w:sz w:val="24"/>
          <w:szCs w:val="24"/>
        </w:rPr>
      </w:pPr>
    </w:p>
    <w:p w14:paraId="0217D521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i/>
          <w:sz w:val="24"/>
          <w:szCs w:val="24"/>
        </w:rPr>
      </w:pPr>
      <w:r w:rsidRPr="00FD09F4">
        <w:rPr>
          <w:rFonts w:ascii="Times New Roman" w:hAnsi="Times New Roman"/>
          <w:b/>
          <w:i/>
          <w:sz w:val="24"/>
          <w:szCs w:val="24"/>
        </w:rPr>
        <w:t>Entrée en vigueur :</w:t>
      </w:r>
      <w:r w:rsidRPr="00FD09F4">
        <w:rPr>
          <w:rFonts w:ascii="Times New Roman" w:hAnsi="Times New Roman"/>
          <w:i/>
          <w:sz w:val="24"/>
          <w:szCs w:val="24"/>
        </w:rPr>
        <w:t xml:space="preserve"> le texte entre en vigueur le lendemain de sa publication.</w:t>
      </w:r>
    </w:p>
    <w:p w14:paraId="67581513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i/>
          <w:sz w:val="24"/>
          <w:szCs w:val="24"/>
        </w:rPr>
      </w:pPr>
    </w:p>
    <w:p w14:paraId="392D5BB0" w14:textId="6523254D" w:rsidR="005B42B2" w:rsidRPr="00FD09F4" w:rsidRDefault="005B42B2" w:rsidP="00B7082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FD09F4">
        <w:rPr>
          <w:rFonts w:ascii="Times New Roman" w:hAnsi="Times New Roman"/>
          <w:b/>
          <w:i/>
          <w:sz w:val="24"/>
          <w:szCs w:val="24"/>
        </w:rPr>
        <w:t>Notice :</w:t>
      </w:r>
      <w:r w:rsidRPr="00FD09F4">
        <w:rPr>
          <w:rFonts w:ascii="Times New Roman" w:hAnsi="Times New Roman"/>
          <w:i/>
          <w:sz w:val="24"/>
          <w:szCs w:val="24"/>
        </w:rPr>
        <w:t xml:space="preserve"> </w:t>
      </w:r>
      <w:r w:rsidR="00715829">
        <w:rPr>
          <w:rFonts w:ascii="Times New Roman" w:hAnsi="Times New Roman"/>
          <w:i/>
          <w:sz w:val="24"/>
          <w:szCs w:val="24"/>
        </w:rPr>
        <w:t xml:space="preserve">le présent arrêté </w:t>
      </w:r>
      <w:r w:rsidR="00CC0A88">
        <w:rPr>
          <w:rFonts w:ascii="Times New Roman" w:hAnsi="Times New Roman"/>
          <w:i/>
          <w:sz w:val="24"/>
          <w:szCs w:val="24"/>
        </w:rPr>
        <w:t xml:space="preserve">prolonge </w:t>
      </w:r>
      <w:r w:rsidR="007C5B6E">
        <w:rPr>
          <w:rFonts w:ascii="Times New Roman" w:hAnsi="Times New Roman"/>
          <w:i/>
          <w:sz w:val="24"/>
          <w:szCs w:val="24"/>
        </w:rPr>
        <w:t>le programme "PRO-FGRE" jusqu'au 31 décembre 2026 ainsi que le programme « </w:t>
      </w:r>
      <w:proofErr w:type="spellStart"/>
      <w:r w:rsidR="007C5B6E">
        <w:rPr>
          <w:rFonts w:ascii="Times New Roman" w:hAnsi="Times New Roman"/>
          <w:i/>
          <w:sz w:val="24"/>
          <w:szCs w:val="24"/>
        </w:rPr>
        <w:t>Slime</w:t>
      </w:r>
      <w:proofErr w:type="spellEnd"/>
      <w:r w:rsidR="007C5B6E">
        <w:rPr>
          <w:rFonts w:ascii="Times New Roman" w:hAnsi="Times New Roman"/>
          <w:i/>
          <w:sz w:val="24"/>
          <w:szCs w:val="24"/>
        </w:rPr>
        <w:t>+ » jusqu’au 31 décembre 2027.</w:t>
      </w:r>
      <w:r w:rsidR="00D866CB">
        <w:rPr>
          <w:rFonts w:ascii="Times New Roman" w:hAnsi="Times New Roman"/>
          <w:i/>
          <w:sz w:val="24"/>
          <w:szCs w:val="24"/>
        </w:rPr>
        <w:t xml:space="preserve"> </w:t>
      </w:r>
    </w:p>
    <w:p w14:paraId="1C233AFE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i/>
          <w:sz w:val="24"/>
          <w:szCs w:val="24"/>
        </w:rPr>
      </w:pPr>
    </w:p>
    <w:p w14:paraId="0E9AE3C4" w14:textId="77777777" w:rsidR="005B42B2" w:rsidRPr="00FD09F4" w:rsidRDefault="005B42B2" w:rsidP="00B7082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FD09F4">
        <w:rPr>
          <w:rFonts w:ascii="Times New Roman" w:hAnsi="Times New Roman"/>
          <w:b/>
          <w:i/>
          <w:sz w:val="24"/>
          <w:szCs w:val="24"/>
        </w:rPr>
        <w:t>Références :</w:t>
      </w:r>
      <w:r w:rsidRPr="00FD09F4">
        <w:rPr>
          <w:rFonts w:ascii="Times New Roman" w:hAnsi="Times New Roman"/>
          <w:i/>
          <w:sz w:val="24"/>
          <w:szCs w:val="24"/>
        </w:rPr>
        <w:t xml:space="preserve"> titre II du livre II du code de l’énergie, parties législative et réglementaire. Le texte du présent arrêté peut être consulté sur le site Légifrance (https://www.legifrance.gouv.fr).</w:t>
      </w:r>
    </w:p>
    <w:p w14:paraId="6720803C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</w:p>
    <w:p w14:paraId="64E47A2D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FFE45" w14:textId="7084B82A" w:rsidR="005B42B2" w:rsidRPr="00FD09F4" w:rsidRDefault="005B42B2" w:rsidP="00260C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9F4">
        <w:rPr>
          <w:rFonts w:ascii="Times New Roman" w:hAnsi="Times New Roman"/>
          <w:b/>
          <w:sz w:val="24"/>
          <w:szCs w:val="24"/>
        </w:rPr>
        <w:t>L</w:t>
      </w:r>
      <w:r w:rsidR="0024741A">
        <w:rPr>
          <w:rFonts w:ascii="Times New Roman" w:hAnsi="Times New Roman"/>
          <w:b/>
          <w:sz w:val="24"/>
          <w:szCs w:val="24"/>
        </w:rPr>
        <w:t>a</w:t>
      </w:r>
      <w:r w:rsidRPr="00FD09F4">
        <w:rPr>
          <w:rFonts w:ascii="Times New Roman" w:hAnsi="Times New Roman"/>
          <w:b/>
          <w:sz w:val="24"/>
          <w:szCs w:val="24"/>
        </w:rPr>
        <w:t xml:space="preserve"> ministre </w:t>
      </w:r>
      <w:r w:rsidR="00A24CBE" w:rsidRPr="00A24CBE">
        <w:rPr>
          <w:rFonts w:ascii="Times New Roman" w:hAnsi="Times New Roman"/>
          <w:b/>
          <w:sz w:val="24"/>
          <w:szCs w:val="24"/>
        </w:rPr>
        <w:t xml:space="preserve">de </w:t>
      </w:r>
      <w:r w:rsidR="00260C31" w:rsidRPr="00260C31">
        <w:rPr>
          <w:rFonts w:ascii="Times New Roman" w:hAnsi="Times New Roman"/>
          <w:b/>
          <w:sz w:val="24"/>
          <w:szCs w:val="24"/>
        </w:rPr>
        <w:t>la Transition écologique, de l’Energie, du Climat et de la Prévention des risques</w:t>
      </w:r>
    </w:p>
    <w:p w14:paraId="483A6273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</w:p>
    <w:p w14:paraId="02DFB743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Vu le code de l’énergie, notamment ses articles L. 221-7 et R. 221-14 ;</w:t>
      </w:r>
    </w:p>
    <w:p w14:paraId="5B8644E1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</w:p>
    <w:p w14:paraId="490D46C7" w14:textId="1F66EE43" w:rsidR="005B42B2" w:rsidRDefault="005B42B2" w:rsidP="00B7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Vu l’arrêté du 4 septembre 2014 modifié fixant la liste des éléments d’une demande de certificats d’économies d’énergie et les documents à archiver par le demandeur ;</w:t>
      </w:r>
    </w:p>
    <w:p w14:paraId="4ACF4E1D" w14:textId="0DF49D35" w:rsidR="00964E89" w:rsidRDefault="00964E89" w:rsidP="00B7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A2FBC" w14:textId="77777777" w:rsidR="00B13E06" w:rsidRPr="00FD09F4" w:rsidRDefault="00B13E06" w:rsidP="00B13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 l’arrêté du 17 avril 2018</w:t>
      </w:r>
      <w:r w:rsidRPr="008C26DD">
        <w:t xml:space="preserve"> </w:t>
      </w:r>
      <w:r w:rsidRPr="008C26DD">
        <w:rPr>
          <w:rFonts w:ascii="Times New Roman" w:hAnsi="Times New Roman"/>
          <w:sz w:val="24"/>
          <w:szCs w:val="24"/>
        </w:rPr>
        <w:t>modifié portant validation du programme « Fonds de garantie pour la rénovation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6DD">
        <w:rPr>
          <w:rFonts w:ascii="Times New Roman" w:hAnsi="Times New Roman"/>
          <w:sz w:val="24"/>
          <w:szCs w:val="24"/>
        </w:rPr>
        <w:t>énergétique (FGRE) » dans le cadre du dispositif des certificats d’économies d’énergie</w:t>
      </w:r>
      <w:r w:rsidRPr="00FD09F4">
        <w:rPr>
          <w:rFonts w:ascii="Times New Roman" w:hAnsi="Times New Roman"/>
          <w:sz w:val="24"/>
          <w:szCs w:val="24"/>
        </w:rPr>
        <w:t xml:space="preserve"> ;</w:t>
      </w:r>
    </w:p>
    <w:p w14:paraId="3465F4B9" w14:textId="77777777" w:rsidR="00B13E06" w:rsidRPr="00FD09F4" w:rsidRDefault="00B13E06" w:rsidP="00B13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8E8FB" w14:textId="17763FC7" w:rsidR="00CC0A88" w:rsidRDefault="00964E89" w:rsidP="00964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 l’a</w:t>
      </w:r>
      <w:r w:rsidRPr="00CD0CE4">
        <w:rPr>
          <w:rFonts w:ascii="Times New Roman" w:hAnsi="Times New Roman"/>
          <w:sz w:val="24"/>
          <w:szCs w:val="24"/>
        </w:rPr>
        <w:t xml:space="preserve">rrêté </w:t>
      </w:r>
      <w:r w:rsidR="00CC0A88">
        <w:rPr>
          <w:rFonts w:ascii="Times New Roman" w:hAnsi="Times New Roman"/>
          <w:sz w:val="24"/>
          <w:szCs w:val="24"/>
        </w:rPr>
        <w:t>du 14 décembre 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9F4">
        <w:rPr>
          <w:rFonts w:ascii="Times New Roman" w:hAnsi="Times New Roman"/>
          <w:sz w:val="24"/>
          <w:szCs w:val="24"/>
        </w:rPr>
        <w:t>relatif</w:t>
      </w:r>
      <w:r w:rsidR="00CC0A88">
        <w:rPr>
          <w:rFonts w:ascii="Times New Roman" w:hAnsi="Times New Roman"/>
          <w:sz w:val="24"/>
          <w:szCs w:val="24"/>
        </w:rPr>
        <w:t xml:space="preserve"> aux programmes dans le cadre des certificats d’économie d’énergie ;</w:t>
      </w:r>
    </w:p>
    <w:p w14:paraId="2E79695F" w14:textId="77777777" w:rsidR="008C26DD" w:rsidRDefault="008C26DD" w:rsidP="00964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388A0" w14:textId="5B3C3700" w:rsidR="005B42B2" w:rsidRDefault="005B42B2" w:rsidP="00B7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 xml:space="preserve">Vu l’avis du Conseil supérieur de l’énergie </w:t>
      </w:r>
      <w:r w:rsidR="00256AF4">
        <w:rPr>
          <w:rFonts w:ascii="Times New Roman" w:hAnsi="Times New Roman"/>
          <w:sz w:val="24"/>
          <w:szCs w:val="24"/>
        </w:rPr>
        <w:t>en date du</w:t>
      </w:r>
      <w:r w:rsidR="00A45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0A88" w:rsidRPr="007C5B6E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  <w:r w:rsidR="00A45B15">
        <w:rPr>
          <w:rFonts w:ascii="Times New Roman" w:hAnsi="Times New Roman"/>
          <w:sz w:val="24"/>
          <w:szCs w:val="24"/>
        </w:rPr>
        <w:t>,</w:t>
      </w:r>
    </w:p>
    <w:p w14:paraId="52277E04" w14:textId="77777777" w:rsidR="00CD0CE4" w:rsidRDefault="00CD0CE4" w:rsidP="0012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EEB790" w14:textId="77777777" w:rsidR="00CD0CE4" w:rsidRDefault="00CD0CE4" w:rsidP="00B16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83679E" w14:textId="21B82DE7" w:rsidR="00CD0CE4" w:rsidRDefault="00CD0CE4" w:rsidP="00B16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C5B08A" w14:textId="06062E94" w:rsidR="00305F87" w:rsidRDefault="00305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9C83CF" w14:textId="0D04C843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9F4">
        <w:rPr>
          <w:rFonts w:ascii="Times New Roman" w:hAnsi="Times New Roman"/>
          <w:b/>
          <w:sz w:val="24"/>
          <w:szCs w:val="24"/>
        </w:rPr>
        <w:lastRenderedPageBreak/>
        <w:t>ARRÊTE</w:t>
      </w:r>
    </w:p>
    <w:p w14:paraId="30795273" w14:textId="57EAF91F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</w:p>
    <w:p w14:paraId="6C63FA64" w14:textId="1261B7AA" w:rsidR="00E909E2" w:rsidRDefault="00E909E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FC11C" w14:textId="77777777" w:rsidR="00260C31" w:rsidRPr="00FD09F4" w:rsidRDefault="00260C31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CCCBC" w14:textId="7BD86EDF" w:rsidR="005B42B2" w:rsidRPr="00FD09F4" w:rsidRDefault="005B42B2" w:rsidP="00433ADB">
      <w:pPr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vertAlign w:val="superscript"/>
          <w:lang w:eastAsia="zh-CN"/>
        </w:rPr>
      </w:pPr>
      <w:r w:rsidRPr="00FD09F4">
        <w:rPr>
          <w:rFonts w:ascii="Times New Roman" w:hAnsi="Times New Roman"/>
          <w:b/>
          <w:color w:val="00000A"/>
          <w:sz w:val="24"/>
          <w:szCs w:val="24"/>
          <w:lang w:eastAsia="zh-CN"/>
        </w:rPr>
        <w:t>Article 1</w:t>
      </w:r>
      <w:r w:rsidRPr="00FD09F4">
        <w:rPr>
          <w:rFonts w:ascii="Times New Roman" w:hAnsi="Times New Roman"/>
          <w:b/>
          <w:color w:val="00000A"/>
          <w:sz w:val="24"/>
          <w:szCs w:val="24"/>
          <w:vertAlign w:val="superscript"/>
          <w:lang w:eastAsia="zh-CN"/>
        </w:rPr>
        <w:t>er</w:t>
      </w:r>
    </w:p>
    <w:p w14:paraId="2FBA7872" w14:textId="77777777" w:rsidR="00135070" w:rsidRPr="00FD09F4" w:rsidRDefault="00135070" w:rsidP="001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 xml:space="preserve">L’arrêté </w:t>
      </w:r>
      <w:r w:rsidRPr="00CD0CE4"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z w:val="24"/>
          <w:szCs w:val="24"/>
        </w:rPr>
        <w:t xml:space="preserve"> 17 avril 2018</w:t>
      </w:r>
      <w:r w:rsidRPr="00CD0CE4">
        <w:rPr>
          <w:rFonts w:ascii="Times New Roman" w:hAnsi="Times New Roman"/>
          <w:sz w:val="24"/>
          <w:szCs w:val="24"/>
        </w:rPr>
        <w:t xml:space="preserve"> </w:t>
      </w:r>
      <w:r w:rsidRPr="00FD09F4">
        <w:rPr>
          <w:rFonts w:ascii="Times New Roman" w:hAnsi="Times New Roman"/>
          <w:sz w:val="24"/>
          <w:szCs w:val="24"/>
        </w:rPr>
        <w:t xml:space="preserve">susvisé est ainsi modifié : </w:t>
      </w:r>
    </w:p>
    <w:p w14:paraId="1FAB6D55" w14:textId="77777777" w:rsidR="00135070" w:rsidRDefault="00135070" w:rsidP="0013507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C9C31" w14:textId="77777777" w:rsidR="00755B50" w:rsidRDefault="00135070" w:rsidP="00755B5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017F">
        <w:rPr>
          <w:rFonts w:ascii="Times New Roman" w:hAnsi="Times New Roman"/>
          <w:sz w:val="24"/>
          <w:szCs w:val="24"/>
        </w:rPr>
        <w:t xml:space="preserve">1° </w:t>
      </w:r>
      <w:r w:rsidR="00755B50">
        <w:rPr>
          <w:rFonts w:ascii="Times New Roman" w:hAnsi="Times New Roman"/>
          <w:bCs/>
          <w:sz w:val="24"/>
          <w:szCs w:val="24"/>
        </w:rPr>
        <w:t>L’article 1 est remplacé par les dispositions suivantes :</w:t>
      </w:r>
    </w:p>
    <w:p w14:paraId="79B09DBD" w14:textId="105AF842" w:rsidR="00135070" w:rsidRPr="004B24F2" w:rsidRDefault="00755B50" w:rsidP="00755B5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 Le </w:t>
      </w:r>
      <w:r w:rsidRPr="005668D9">
        <w:rPr>
          <w:rFonts w:ascii="Times New Roman" w:hAnsi="Times New Roman"/>
          <w:bCs/>
          <w:sz w:val="24"/>
          <w:szCs w:val="24"/>
        </w:rPr>
        <w:t>programme PRO-</w:t>
      </w:r>
      <w:r>
        <w:rPr>
          <w:rFonts w:ascii="Times New Roman" w:hAnsi="Times New Roman"/>
          <w:bCs/>
          <w:sz w:val="24"/>
          <w:szCs w:val="24"/>
        </w:rPr>
        <w:t>FGRE, décrit en annexe, est éligible au dispositif des certificats d'économies d'énergie dans les conditions définies par le présent arrêté pour les contributions versées jusqu'au 31 décembre 202</w:t>
      </w:r>
      <w:r w:rsidR="0002333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 »</w:t>
      </w:r>
    </w:p>
    <w:p w14:paraId="07A041B7" w14:textId="77777777" w:rsidR="00135070" w:rsidRPr="0094017F" w:rsidRDefault="00135070" w:rsidP="0013507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5CC3E" w14:textId="0CF2A411" w:rsidR="00135070" w:rsidRPr="0094017F" w:rsidRDefault="00135070" w:rsidP="001350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017F">
        <w:rPr>
          <w:rFonts w:ascii="Times New Roman" w:hAnsi="Times New Roman"/>
          <w:bCs/>
          <w:sz w:val="24"/>
          <w:szCs w:val="24"/>
        </w:rPr>
        <w:t xml:space="preserve">2° La fiche du programme </w:t>
      </w:r>
      <w:bookmarkStart w:id="1" w:name="_Hlk169704672"/>
      <w:r>
        <w:rPr>
          <w:rFonts w:ascii="Times New Roman" w:hAnsi="Times New Roman"/>
          <w:bCs/>
          <w:sz w:val="24"/>
          <w:szCs w:val="24"/>
        </w:rPr>
        <w:t>« </w:t>
      </w:r>
      <w:r w:rsidRPr="0094017F">
        <w:rPr>
          <w:rFonts w:ascii="Times New Roman" w:hAnsi="Times New Roman"/>
          <w:sz w:val="24"/>
          <w:szCs w:val="24"/>
        </w:rPr>
        <w:t>PRO-</w:t>
      </w:r>
      <w:bookmarkStart w:id="2" w:name="_Hlk182385444"/>
      <w:r>
        <w:rPr>
          <w:rFonts w:ascii="Times New Roman" w:hAnsi="Times New Roman"/>
          <w:sz w:val="24"/>
          <w:szCs w:val="24"/>
        </w:rPr>
        <w:t>FGRE</w:t>
      </w:r>
      <w:r w:rsidRPr="0094017F">
        <w:rPr>
          <w:rFonts w:ascii="Times New Roman" w:hAnsi="Times New Roman"/>
          <w:bCs/>
          <w:sz w:val="24"/>
          <w:szCs w:val="24"/>
        </w:rPr>
        <w:t xml:space="preserve"> » </w:t>
      </w:r>
      <w:bookmarkEnd w:id="1"/>
      <w:bookmarkEnd w:id="2"/>
      <w:r w:rsidRPr="0094017F">
        <w:rPr>
          <w:rFonts w:ascii="Times New Roman" w:hAnsi="Times New Roman"/>
          <w:bCs/>
          <w:sz w:val="24"/>
          <w:szCs w:val="24"/>
        </w:rPr>
        <w:t xml:space="preserve">figurant en annexe </w:t>
      </w:r>
      <w:r w:rsidRPr="0094017F">
        <w:rPr>
          <w:rFonts w:ascii="Times New Roman" w:hAnsi="Times New Roman"/>
          <w:sz w:val="24"/>
          <w:szCs w:val="24"/>
        </w:rPr>
        <w:t xml:space="preserve">est </w:t>
      </w:r>
      <w:r w:rsidRPr="0094017F">
        <w:rPr>
          <w:rFonts w:ascii="Times New Roman" w:hAnsi="Times New Roman"/>
          <w:bCs/>
          <w:sz w:val="24"/>
          <w:szCs w:val="24"/>
        </w:rPr>
        <w:t>remplacée par l’annexe I du présent arrêté.</w:t>
      </w:r>
    </w:p>
    <w:p w14:paraId="424DAE9C" w14:textId="77777777" w:rsidR="00CD0CE4" w:rsidRDefault="00CD0CE4" w:rsidP="006E7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D5780" w14:textId="7EA83DBF" w:rsidR="00964E89" w:rsidRPr="00135070" w:rsidRDefault="00685AF5" w:rsidP="00135070">
      <w:pPr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vertAlign w:val="superscript"/>
          <w:lang w:eastAsia="zh-CN"/>
        </w:rPr>
      </w:pPr>
      <w:r w:rsidRPr="00FD09F4">
        <w:rPr>
          <w:rFonts w:ascii="Times New Roman" w:hAnsi="Times New Roman"/>
          <w:b/>
          <w:color w:val="00000A"/>
          <w:sz w:val="24"/>
          <w:szCs w:val="24"/>
          <w:lang w:eastAsia="zh-CN"/>
        </w:rPr>
        <w:t xml:space="preserve">Article </w:t>
      </w:r>
      <w:r w:rsidR="00135070">
        <w:rPr>
          <w:rFonts w:ascii="Times New Roman" w:hAnsi="Times New Roman"/>
          <w:b/>
          <w:color w:val="00000A"/>
          <w:sz w:val="24"/>
          <w:szCs w:val="24"/>
          <w:lang w:eastAsia="zh-CN"/>
        </w:rPr>
        <w:t>2</w:t>
      </w:r>
    </w:p>
    <w:p w14:paraId="4B2A8401" w14:textId="77777777" w:rsidR="00135070" w:rsidRPr="00FD09F4" w:rsidRDefault="00135070" w:rsidP="001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 xml:space="preserve">L’arrêté </w:t>
      </w:r>
      <w:r w:rsidRPr="00CD0CE4">
        <w:rPr>
          <w:rFonts w:ascii="Times New Roman" w:hAnsi="Times New Roman"/>
          <w:sz w:val="24"/>
          <w:szCs w:val="24"/>
        </w:rPr>
        <w:t xml:space="preserve">du </w:t>
      </w:r>
      <w:r>
        <w:rPr>
          <w:rFonts w:ascii="Times New Roman" w:hAnsi="Times New Roman"/>
          <w:sz w:val="24"/>
          <w:szCs w:val="24"/>
        </w:rPr>
        <w:t>14 décembre 2021</w:t>
      </w:r>
      <w:r w:rsidRPr="00CD0CE4">
        <w:rPr>
          <w:rFonts w:ascii="Times New Roman" w:hAnsi="Times New Roman"/>
          <w:sz w:val="24"/>
          <w:szCs w:val="24"/>
        </w:rPr>
        <w:t xml:space="preserve"> </w:t>
      </w:r>
      <w:r w:rsidRPr="00FD09F4">
        <w:rPr>
          <w:rFonts w:ascii="Times New Roman" w:hAnsi="Times New Roman"/>
          <w:sz w:val="24"/>
          <w:szCs w:val="24"/>
        </w:rPr>
        <w:t xml:space="preserve">susvisé est ainsi modifié : </w:t>
      </w:r>
    </w:p>
    <w:p w14:paraId="3916F9E6" w14:textId="77777777" w:rsidR="00135070" w:rsidRDefault="00135070" w:rsidP="001350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7DB6BC" w14:textId="77777777" w:rsidR="00135070" w:rsidRDefault="00135070" w:rsidP="001350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1° L’article 1 est remplacé par les dispositions suivantes :</w:t>
      </w:r>
    </w:p>
    <w:p w14:paraId="0ED81D65" w14:textId="77777777" w:rsidR="00135070" w:rsidRDefault="00135070" w:rsidP="0013507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 Le </w:t>
      </w:r>
      <w:r w:rsidRPr="005668D9">
        <w:rPr>
          <w:rFonts w:ascii="Times New Roman" w:hAnsi="Times New Roman"/>
          <w:bCs/>
          <w:sz w:val="24"/>
          <w:szCs w:val="24"/>
        </w:rPr>
        <w:t>programme PRO-INFO-</w:t>
      </w:r>
      <w:r>
        <w:rPr>
          <w:rFonts w:ascii="Times New Roman" w:hAnsi="Times New Roman"/>
          <w:bCs/>
          <w:sz w:val="24"/>
          <w:szCs w:val="24"/>
        </w:rPr>
        <w:t>PE-03 « SLIME+ », décrit en annexe, est éligible au dispositif des certificats d'économies d'énergie dans les conditions définies par le présent arrêté pour les contributions versées jusqu'au 31 décembre 2027. »</w:t>
      </w:r>
    </w:p>
    <w:p w14:paraId="13EC7007" w14:textId="77777777" w:rsidR="00135070" w:rsidRDefault="00135070" w:rsidP="001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28931" w14:textId="3B5D28A0" w:rsidR="00135070" w:rsidRDefault="00135070" w:rsidP="00135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2° </w:t>
      </w:r>
      <w:r w:rsidRPr="0094017F">
        <w:rPr>
          <w:rFonts w:ascii="Times New Roman" w:hAnsi="Times New Roman"/>
          <w:bCs/>
          <w:sz w:val="24"/>
          <w:szCs w:val="24"/>
        </w:rPr>
        <w:t xml:space="preserve">La fiche du programme </w:t>
      </w:r>
      <w:r w:rsidRPr="0094017F">
        <w:rPr>
          <w:rFonts w:ascii="Times New Roman" w:hAnsi="Times New Roman"/>
          <w:sz w:val="24"/>
          <w:szCs w:val="24"/>
        </w:rPr>
        <w:t>PRO-</w:t>
      </w:r>
      <w:r>
        <w:rPr>
          <w:rFonts w:ascii="Times New Roman" w:hAnsi="Times New Roman"/>
          <w:sz w:val="24"/>
          <w:szCs w:val="24"/>
        </w:rPr>
        <w:t>INFO-PE-03</w:t>
      </w:r>
      <w:r w:rsidRPr="0094017F">
        <w:rPr>
          <w:rFonts w:ascii="Times New Roman" w:hAnsi="Times New Roman"/>
          <w:sz w:val="24"/>
          <w:szCs w:val="24"/>
        </w:rPr>
        <w:t xml:space="preserve"> </w:t>
      </w:r>
      <w:r w:rsidRPr="0094017F">
        <w:rPr>
          <w:rFonts w:ascii="Times New Roman" w:hAnsi="Times New Roman"/>
          <w:bCs/>
          <w:sz w:val="24"/>
          <w:szCs w:val="24"/>
        </w:rPr>
        <w:t xml:space="preserve">« </w:t>
      </w:r>
      <w:r>
        <w:rPr>
          <w:rFonts w:ascii="Times New Roman" w:hAnsi="Times New Roman"/>
          <w:bCs/>
          <w:sz w:val="24"/>
          <w:szCs w:val="24"/>
        </w:rPr>
        <w:t>SLIME+</w:t>
      </w:r>
      <w:r w:rsidRPr="0094017F">
        <w:rPr>
          <w:rFonts w:ascii="Times New Roman" w:hAnsi="Times New Roman"/>
          <w:bCs/>
          <w:sz w:val="24"/>
          <w:szCs w:val="24"/>
        </w:rPr>
        <w:t xml:space="preserve"> » figurant en annexe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017F">
        <w:rPr>
          <w:rFonts w:ascii="Times New Roman" w:hAnsi="Times New Roman"/>
          <w:sz w:val="24"/>
          <w:szCs w:val="24"/>
        </w:rPr>
        <w:t xml:space="preserve">est </w:t>
      </w:r>
      <w:r w:rsidRPr="0094017F">
        <w:rPr>
          <w:rFonts w:ascii="Times New Roman" w:hAnsi="Times New Roman"/>
          <w:bCs/>
          <w:sz w:val="24"/>
          <w:szCs w:val="24"/>
        </w:rPr>
        <w:t>remplacée par l’annexe I</w:t>
      </w:r>
      <w:r w:rsidR="00D46F97">
        <w:rPr>
          <w:rFonts w:ascii="Times New Roman" w:hAnsi="Times New Roman"/>
          <w:bCs/>
          <w:sz w:val="24"/>
          <w:szCs w:val="24"/>
        </w:rPr>
        <w:t>I</w:t>
      </w:r>
      <w:r w:rsidRPr="0094017F">
        <w:rPr>
          <w:rFonts w:ascii="Times New Roman" w:hAnsi="Times New Roman"/>
          <w:bCs/>
          <w:sz w:val="24"/>
          <w:szCs w:val="24"/>
        </w:rPr>
        <w:t xml:space="preserve"> du présent arrêté.</w:t>
      </w:r>
    </w:p>
    <w:p w14:paraId="782F5706" w14:textId="77777777" w:rsidR="00135070" w:rsidRDefault="00135070" w:rsidP="006E7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4AED8" w14:textId="77777777" w:rsidR="00964E89" w:rsidRDefault="00964E89" w:rsidP="006E7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256F4" w14:textId="77777777" w:rsidR="00CD0CE4" w:rsidRDefault="00CD0CE4" w:rsidP="006E7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34E20" w14:textId="3D3754C3" w:rsidR="00CD0CE4" w:rsidRPr="00FD09F4" w:rsidRDefault="00CD0CE4" w:rsidP="00CD0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9F4">
        <w:rPr>
          <w:rFonts w:ascii="Times New Roman" w:hAnsi="Times New Roman"/>
          <w:b/>
          <w:bCs/>
          <w:sz w:val="24"/>
          <w:szCs w:val="24"/>
        </w:rPr>
        <w:t xml:space="preserve">Article </w:t>
      </w:r>
      <w:r w:rsidR="00964E89">
        <w:rPr>
          <w:rFonts w:ascii="Times New Roman" w:hAnsi="Times New Roman"/>
          <w:b/>
          <w:bCs/>
          <w:sz w:val="24"/>
          <w:szCs w:val="24"/>
        </w:rPr>
        <w:t>3</w:t>
      </w:r>
    </w:p>
    <w:p w14:paraId="70382934" w14:textId="77777777" w:rsidR="00CD0CE4" w:rsidRDefault="00CD0CE4" w:rsidP="006E7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878A3" w14:textId="4769FF38" w:rsidR="005B42B2" w:rsidRPr="00FD09F4" w:rsidRDefault="00A039E8" w:rsidP="00D45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 xml:space="preserve">La directrice du climat, de l’efficacité énergétique et de l’air </w:t>
      </w:r>
      <w:r w:rsidR="005B42B2" w:rsidRPr="00FD09F4">
        <w:rPr>
          <w:rFonts w:ascii="Times New Roman" w:hAnsi="Times New Roman"/>
          <w:sz w:val="24"/>
          <w:szCs w:val="24"/>
        </w:rPr>
        <w:t>est chargé</w:t>
      </w:r>
      <w:r w:rsidR="00695E60" w:rsidRPr="00FD09F4">
        <w:rPr>
          <w:rFonts w:ascii="Times New Roman" w:hAnsi="Times New Roman"/>
          <w:sz w:val="24"/>
          <w:szCs w:val="24"/>
        </w:rPr>
        <w:t>e</w:t>
      </w:r>
      <w:r w:rsidR="005B42B2" w:rsidRPr="00FD09F4">
        <w:rPr>
          <w:rFonts w:ascii="Times New Roman" w:hAnsi="Times New Roman"/>
          <w:sz w:val="24"/>
          <w:szCs w:val="24"/>
        </w:rPr>
        <w:t xml:space="preserve"> de l’exécution du présent arrêté, qui sera publié au </w:t>
      </w:r>
      <w:r w:rsidR="005B42B2" w:rsidRPr="004E7004">
        <w:rPr>
          <w:rFonts w:ascii="Times New Roman" w:hAnsi="Times New Roman"/>
          <w:i/>
          <w:iCs/>
          <w:sz w:val="24"/>
          <w:szCs w:val="24"/>
        </w:rPr>
        <w:t>Journal officiel</w:t>
      </w:r>
      <w:r w:rsidR="005B42B2" w:rsidRPr="00FD09F4">
        <w:rPr>
          <w:rFonts w:ascii="Times New Roman" w:hAnsi="Times New Roman"/>
          <w:sz w:val="24"/>
          <w:szCs w:val="24"/>
        </w:rPr>
        <w:t xml:space="preserve"> de la République française. </w:t>
      </w:r>
    </w:p>
    <w:p w14:paraId="45E8E8F2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D5CB1" w14:textId="3B8DE653" w:rsidR="00E92EF8" w:rsidRPr="00FD09F4" w:rsidRDefault="00E92EF8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9D91D" w14:textId="77777777" w:rsidR="00C35FE0" w:rsidRPr="00FD09F4" w:rsidRDefault="00C35FE0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99E6F" w14:textId="52528193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09F4">
        <w:rPr>
          <w:rFonts w:ascii="Times New Roman" w:hAnsi="Times New Roman"/>
          <w:sz w:val="24"/>
          <w:szCs w:val="24"/>
        </w:rPr>
        <w:t>Fait le</w:t>
      </w:r>
      <w:proofErr w:type="gramEnd"/>
      <w:r w:rsidR="0098190F" w:rsidRPr="00FD09F4">
        <w:rPr>
          <w:rFonts w:ascii="Times New Roman" w:hAnsi="Times New Roman"/>
          <w:sz w:val="24"/>
          <w:szCs w:val="24"/>
        </w:rPr>
        <w:t xml:space="preserve"> </w:t>
      </w:r>
    </w:p>
    <w:p w14:paraId="55DFE1A3" w14:textId="77777777" w:rsidR="005B42B2" w:rsidRPr="00FD09F4" w:rsidRDefault="005B42B2" w:rsidP="00B16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 </w:t>
      </w:r>
    </w:p>
    <w:p w14:paraId="08E017D7" w14:textId="5E7FD9C2" w:rsidR="005B42B2" w:rsidRPr="00FD09F4" w:rsidRDefault="005B42B2" w:rsidP="00D45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9F4">
        <w:rPr>
          <w:rFonts w:ascii="Times New Roman" w:hAnsi="Times New Roman"/>
          <w:sz w:val="24"/>
          <w:szCs w:val="24"/>
        </w:rPr>
        <w:t>Pour l</w:t>
      </w:r>
      <w:r w:rsidR="0094017F">
        <w:rPr>
          <w:rFonts w:ascii="Times New Roman" w:hAnsi="Times New Roman"/>
          <w:sz w:val="24"/>
          <w:szCs w:val="24"/>
        </w:rPr>
        <w:t>a</w:t>
      </w:r>
      <w:r w:rsidRPr="00FD09F4">
        <w:rPr>
          <w:rFonts w:ascii="Times New Roman" w:hAnsi="Times New Roman"/>
          <w:sz w:val="24"/>
          <w:szCs w:val="24"/>
        </w:rPr>
        <w:t xml:space="preserve"> ministre et par délégation :</w:t>
      </w:r>
    </w:p>
    <w:p w14:paraId="2CCD2BF5" w14:textId="77777777" w:rsidR="00A039E8" w:rsidRPr="00FD09F4" w:rsidRDefault="00A039E8" w:rsidP="00A039E8">
      <w:pPr>
        <w:pStyle w:val="SNSignatureGauche"/>
        <w:ind w:firstLine="0"/>
        <w:rPr>
          <w:bCs/>
        </w:rPr>
      </w:pPr>
      <w:r w:rsidRPr="00FD09F4">
        <w:rPr>
          <w:bCs/>
        </w:rPr>
        <w:t>La directrice du climat, de l’efficacité énergétique et de l’air</w:t>
      </w:r>
    </w:p>
    <w:p w14:paraId="561C33E3" w14:textId="77777777" w:rsidR="00A039E8" w:rsidRPr="00FD09F4" w:rsidRDefault="00A039E8" w:rsidP="00A039E8">
      <w:pPr>
        <w:pStyle w:val="SNSignatureGauche"/>
        <w:ind w:firstLine="0"/>
        <w:rPr>
          <w:bCs/>
        </w:rPr>
      </w:pPr>
    </w:p>
    <w:p w14:paraId="12FF7C29" w14:textId="77777777" w:rsidR="00A039E8" w:rsidRPr="00FD09F4" w:rsidRDefault="00A039E8" w:rsidP="00A039E8">
      <w:pPr>
        <w:pStyle w:val="SNSignatureGauche"/>
        <w:ind w:firstLine="0"/>
        <w:rPr>
          <w:bCs/>
        </w:rPr>
      </w:pPr>
    </w:p>
    <w:p w14:paraId="6E4AEB90" w14:textId="77777777" w:rsidR="00A039E8" w:rsidRPr="00FD09F4" w:rsidRDefault="00A039E8" w:rsidP="00A039E8">
      <w:pPr>
        <w:pStyle w:val="SNSignatureGauche"/>
        <w:ind w:firstLine="0"/>
        <w:rPr>
          <w:bCs/>
        </w:rPr>
      </w:pPr>
    </w:p>
    <w:p w14:paraId="4B3BD5C5" w14:textId="77777777" w:rsidR="00A039E8" w:rsidRPr="00FD09F4" w:rsidRDefault="00A039E8" w:rsidP="00A039E8">
      <w:pPr>
        <w:pStyle w:val="SNSignatureGauche"/>
        <w:ind w:firstLine="0"/>
        <w:rPr>
          <w:bCs/>
        </w:rPr>
      </w:pPr>
    </w:p>
    <w:p w14:paraId="5184B41E" w14:textId="77777777" w:rsidR="00A039E8" w:rsidRPr="00A24CBE" w:rsidRDefault="00A039E8" w:rsidP="00A039E8">
      <w:pPr>
        <w:pStyle w:val="SNSignatureGauche"/>
        <w:ind w:firstLine="0"/>
        <w:rPr>
          <w:bCs/>
          <w:lang w:val="en-GB"/>
        </w:rPr>
      </w:pPr>
      <w:r w:rsidRPr="00A24CBE">
        <w:rPr>
          <w:bCs/>
          <w:lang w:val="en-GB"/>
        </w:rPr>
        <w:t>D. SIMIU</w:t>
      </w:r>
    </w:p>
    <w:p w14:paraId="10B2FD58" w14:textId="77777777" w:rsidR="005B42B2" w:rsidRPr="00A24CBE" w:rsidRDefault="005B42B2" w:rsidP="00433ADB">
      <w:pPr>
        <w:jc w:val="center"/>
        <w:rPr>
          <w:rFonts w:ascii="Times New Roman" w:hAnsi="Times New Roman"/>
          <w:color w:val="00000A"/>
          <w:sz w:val="24"/>
          <w:szCs w:val="24"/>
          <w:lang w:val="en-GB" w:eastAsia="zh-CN"/>
        </w:rPr>
      </w:pPr>
      <w:r w:rsidRPr="00A24CBE">
        <w:rPr>
          <w:rFonts w:ascii="Times New Roman" w:hAnsi="Times New Roman"/>
          <w:sz w:val="24"/>
          <w:szCs w:val="24"/>
          <w:lang w:val="en-GB"/>
        </w:rPr>
        <w:br w:type="page"/>
      </w:r>
    </w:p>
    <w:p w14:paraId="065EDCBB" w14:textId="1E4A11B5" w:rsidR="001444F5" w:rsidRPr="00A24CBE" w:rsidRDefault="001444F5" w:rsidP="001444F5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lang w:val="en-GB" w:eastAsia="zh-CN"/>
        </w:rPr>
      </w:pPr>
      <w:r w:rsidRPr="00A24CBE">
        <w:rPr>
          <w:rFonts w:ascii="Times New Roman" w:hAnsi="Times New Roman"/>
          <w:color w:val="00000A"/>
          <w:sz w:val="24"/>
          <w:szCs w:val="24"/>
          <w:lang w:val="en-GB" w:eastAsia="zh-CN"/>
        </w:rPr>
        <w:lastRenderedPageBreak/>
        <w:t>ANNEXE</w:t>
      </w:r>
      <w:r>
        <w:rPr>
          <w:rFonts w:ascii="Times New Roman" w:hAnsi="Times New Roman"/>
          <w:color w:val="00000A"/>
          <w:sz w:val="24"/>
          <w:szCs w:val="24"/>
          <w:lang w:val="en-GB" w:eastAsia="zh-CN"/>
        </w:rPr>
        <w:t xml:space="preserve"> </w:t>
      </w:r>
      <w:r w:rsidR="00964E89">
        <w:rPr>
          <w:rFonts w:ascii="Times New Roman" w:hAnsi="Times New Roman"/>
          <w:color w:val="00000A"/>
          <w:sz w:val="24"/>
          <w:szCs w:val="24"/>
          <w:lang w:val="en-GB" w:eastAsia="zh-CN"/>
        </w:rPr>
        <w:t>I</w:t>
      </w:r>
    </w:p>
    <w:p w14:paraId="0046AC02" w14:textId="77777777" w:rsidR="001444F5" w:rsidRPr="00FD09F4" w:rsidRDefault="001444F5" w:rsidP="001444F5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lang w:val="en-GB" w:eastAsia="zh-CN"/>
        </w:rPr>
      </w:pPr>
      <w:r>
        <w:rPr>
          <w:rFonts w:ascii="Times New Roman" w:hAnsi="Times New Roman"/>
          <w:noProof/>
          <w:color w:val="00000A"/>
          <w:sz w:val="24"/>
          <w:szCs w:val="24"/>
          <w:lang w:val="en-GB" w:eastAsia="zh-CN"/>
        </w:rPr>
        <w:drawing>
          <wp:inline distT="0" distB="0" distL="0" distR="0" wp14:anchorId="616B5BB5" wp14:editId="6EAA109C">
            <wp:extent cx="1143000" cy="887193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66" cy="888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17370" w14:textId="0BF05CE1" w:rsidR="001444F5" w:rsidRDefault="001444F5" w:rsidP="001444F5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lang w:val="en-GB" w:eastAsia="zh-CN"/>
        </w:rPr>
      </w:pPr>
      <w:r w:rsidRPr="00FD09F4">
        <w:rPr>
          <w:rFonts w:ascii="Times New Roman" w:hAnsi="Times New Roman"/>
          <w:bCs/>
          <w:sz w:val="24"/>
          <w:szCs w:val="24"/>
          <w:lang w:val="en-GB"/>
        </w:rPr>
        <w:t xml:space="preserve">Programme n° </w:t>
      </w:r>
      <w:r w:rsidRPr="006931C7">
        <w:rPr>
          <w:rFonts w:ascii="Times New Roman" w:hAnsi="Times New Roman"/>
          <w:b/>
          <w:bCs/>
          <w:color w:val="00000A"/>
          <w:sz w:val="24"/>
          <w:szCs w:val="24"/>
          <w:lang w:val="en-GB" w:eastAsia="zh-CN"/>
        </w:rPr>
        <w:t>PRO-</w:t>
      </w:r>
      <w:r w:rsidR="00135070">
        <w:rPr>
          <w:rFonts w:ascii="Times New Roman" w:hAnsi="Times New Roman"/>
          <w:b/>
          <w:bCs/>
          <w:color w:val="00000A"/>
          <w:sz w:val="24"/>
          <w:szCs w:val="24"/>
          <w:lang w:val="en-GB" w:eastAsia="zh-CN"/>
        </w:rPr>
        <w:t>FGRE</w:t>
      </w:r>
    </w:p>
    <w:p w14:paraId="13F657B3" w14:textId="77777777" w:rsidR="001444F5" w:rsidRPr="00256AF4" w:rsidRDefault="001444F5" w:rsidP="001444F5">
      <w:pPr>
        <w:jc w:val="center"/>
        <w:rPr>
          <w:rFonts w:ascii="Times New Roman" w:hAnsi="Times New Roman"/>
          <w:bCs/>
          <w:lang w:val="en-US"/>
        </w:rPr>
      </w:pPr>
    </w:p>
    <w:tbl>
      <w:tblPr>
        <w:tblW w:w="936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1444F5" w14:paraId="49A08810" w14:textId="77777777" w:rsidTr="00F51F06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14:paraId="6C8F1EE1" w14:textId="239D55DE" w:rsidR="001444F5" w:rsidRDefault="00135070" w:rsidP="00F51F06">
            <w:pPr>
              <w:spacing w:beforeAutospacing="1" w:after="0"/>
              <w:jc w:val="center"/>
              <w:rPr>
                <w:rFonts w:ascii="Times New Roman" w:hAnsi="Times New Roman"/>
              </w:rPr>
            </w:pPr>
            <w:r w:rsidRPr="00B13E0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F</w:t>
            </w:r>
            <w:r w:rsidR="003F77B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onds de </w:t>
            </w:r>
            <w:r w:rsidRPr="00B13E0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G</w:t>
            </w:r>
            <w:r w:rsidR="003F77B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arantie</w:t>
            </w:r>
            <w:r w:rsidR="00F51094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pour la </w:t>
            </w:r>
            <w:r w:rsidRPr="00B13E0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R</w:t>
            </w:r>
            <w:r w:rsidR="00F51094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énovation</w:t>
            </w:r>
            <w:r w:rsidR="001444F5" w:rsidRPr="00B13E0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2E909E10" w14:textId="77777777" w:rsidR="001444F5" w:rsidRPr="00F51094" w:rsidRDefault="001444F5" w:rsidP="001444F5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16"/>
          <w:szCs w:val="16"/>
          <w:u w:val="single"/>
        </w:rPr>
      </w:pPr>
    </w:p>
    <w:p w14:paraId="47AEC615" w14:textId="3DED48BD" w:rsidR="004E7004" w:rsidRDefault="001444F5" w:rsidP="001444F5">
      <w:pPr>
        <w:suppressAutoHyphens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1. </w:t>
      </w:r>
      <w:r>
        <w:rPr>
          <w:rFonts w:ascii="Times New Roman" w:hAnsi="Times New Roman"/>
          <w:b/>
          <w:u w:val="single"/>
          <w:lang w:eastAsia="zh-CN"/>
        </w:rPr>
        <w:t>Secteur d’application</w:t>
      </w:r>
    </w:p>
    <w:p w14:paraId="0A7FF93C" w14:textId="2E8E8C1B" w:rsidR="003F77BC" w:rsidRDefault="003F77BC" w:rsidP="003F77BC">
      <w:pPr>
        <w:spacing w:before="100" w:after="0" w:line="240" w:lineRule="auto"/>
        <w:jc w:val="both"/>
        <w:rPr>
          <w:rFonts w:ascii="Times New Roman" w:hAnsi="Times New Roman"/>
          <w:lang w:eastAsia="zh-CN"/>
        </w:rPr>
      </w:pPr>
      <w:r w:rsidRPr="003F77BC">
        <w:rPr>
          <w:rFonts w:ascii="Times New Roman" w:hAnsi="Times New Roman"/>
          <w:lang w:eastAsia="zh-CN"/>
        </w:rPr>
        <w:t>Fonds de garantie pour la rénovation.</w:t>
      </w:r>
    </w:p>
    <w:p w14:paraId="2DA1B37D" w14:textId="77777777" w:rsidR="00F51094" w:rsidRPr="00F51094" w:rsidRDefault="00F51094" w:rsidP="003F77BC">
      <w:pPr>
        <w:spacing w:before="100" w:after="0" w:line="240" w:lineRule="auto"/>
        <w:jc w:val="both"/>
        <w:rPr>
          <w:rFonts w:ascii="Times New Roman" w:hAnsi="Times New Roman"/>
          <w:sz w:val="16"/>
          <w:szCs w:val="16"/>
          <w:lang w:eastAsia="zh-CN"/>
        </w:rPr>
      </w:pPr>
    </w:p>
    <w:p w14:paraId="6A893089" w14:textId="77777777" w:rsidR="003F77BC" w:rsidRPr="00F51094" w:rsidRDefault="003F77BC" w:rsidP="003F77BC">
      <w:pPr>
        <w:spacing w:before="100" w:after="0" w:line="240" w:lineRule="auto"/>
        <w:jc w:val="both"/>
        <w:rPr>
          <w:rFonts w:ascii="Times New Roman" w:hAnsi="Times New Roman"/>
          <w:b/>
          <w:bCs/>
          <w:u w:val="single"/>
          <w:lang w:eastAsia="zh-CN"/>
        </w:rPr>
      </w:pPr>
      <w:r w:rsidRPr="00F51094">
        <w:rPr>
          <w:rFonts w:ascii="Times New Roman" w:hAnsi="Times New Roman"/>
          <w:b/>
          <w:bCs/>
          <w:u w:val="single"/>
          <w:lang w:eastAsia="zh-CN"/>
        </w:rPr>
        <w:t>2. Dénomination et objet</w:t>
      </w:r>
    </w:p>
    <w:p w14:paraId="78A3E0BF" w14:textId="7F54BD68" w:rsidR="003F77BC" w:rsidRPr="003F77BC" w:rsidRDefault="003F77BC">
      <w:pPr>
        <w:spacing w:before="100" w:after="0" w:line="240" w:lineRule="auto"/>
        <w:jc w:val="both"/>
        <w:rPr>
          <w:rFonts w:ascii="Times New Roman" w:hAnsi="Times New Roman"/>
          <w:lang w:eastAsia="zh-CN"/>
        </w:rPr>
      </w:pPr>
      <w:r w:rsidRPr="003F77BC">
        <w:rPr>
          <w:rFonts w:ascii="Times New Roman" w:hAnsi="Times New Roman"/>
          <w:lang w:eastAsia="zh-CN"/>
        </w:rPr>
        <w:t>Programme mettant en œuvre le « Fonds de garantie pour la rénovation (FGR) », porté par la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>Société de Gestion des Financements et de la Garantie de l’Accession Sociale à la Propriété (SGFGAS), visant la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 xml:space="preserve">garantie d’environ 35 000 éco-prêts </w:t>
      </w:r>
      <w:r w:rsidR="00BB3931">
        <w:rPr>
          <w:rFonts w:ascii="Times New Roman" w:hAnsi="Times New Roman"/>
          <w:lang w:eastAsia="zh-CN"/>
        </w:rPr>
        <w:t xml:space="preserve">à taux zéro </w:t>
      </w:r>
      <w:r w:rsidRPr="003F77BC">
        <w:rPr>
          <w:rFonts w:ascii="Times New Roman" w:hAnsi="Times New Roman"/>
          <w:lang w:eastAsia="zh-CN"/>
        </w:rPr>
        <w:t xml:space="preserve">individuels pour les ménages modestes, 2 500 prêts avance mutation </w:t>
      </w:r>
      <w:r w:rsidR="00BB3931">
        <w:rPr>
          <w:rFonts w:ascii="Times New Roman" w:hAnsi="Times New Roman"/>
          <w:lang w:eastAsia="zh-CN"/>
        </w:rPr>
        <w:t xml:space="preserve">et prêts avance mutation </w:t>
      </w:r>
      <w:r w:rsidRPr="003F77BC">
        <w:rPr>
          <w:rFonts w:ascii="Times New Roman" w:hAnsi="Times New Roman"/>
          <w:lang w:eastAsia="zh-CN"/>
        </w:rPr>
        <w:t>pour les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 xml:space="preserve">ménages modestes et 6 500 </w:t>
      </w:r>
      <w:r w:rsidR="00BB3931">
        <w:rPr>
          <w:rFonts w:ascii="Times New Roman" w:hAnsi="Times New Roman"/>
          <w:lang w:eastAsia="zh-CN"/>
        </w:rPr>
        <w:t>éco-</w:t>
      </w:r>
      <w:r w:rsidRPr="003F77BC">
        <w:rPr>
          <w:rFonts w:ascii="Times New Roman" w:hAnsi="Times New Roman"/>
          <w:lang w:eastAsia="zh-CN"/>
        </w:rPr>
        <w:t xml:space="preserve">prêts </w:t>
      </w:r>
      <w:r w:rsidR="00BB3931">
        <w:rPr>
          <w:rFonts w:ascii="Times New Roman" w:hAnsi="Times New Roman"/>
          <w:lang w:eastAsia="zh-CN"/>
        </w:rPr>
        <w:t xml:space="preserve">à taux zéro </w:t>
      </w:r>
      <w:r w:rsidRPr="003F77BC">
        <w:rPr>
          <w:rFonts w:ascii="Times New Roman" w:hAnsi="Times New Roman"/>
          <w:lang w:eastAsia="zh-CN"/>
        </w:rPr>
        <w:t xml:space="preserve">collectifs par an </w:t>
      </w:r>
      <w:r w:rsidR="00BB3931">
        <w:rPr>
          <w:rFonts w:ascii="Times New Roman" w:hAnsi="Times New Roman"/>
          <w:lang w:eastAsia="zh-CN"/>
        </w:rPr>
        <w:t>jusqu’au 31 décembre</w:t>
      </w:r>
      <w:r w:rsidR="00BB3931" w:rsidRPr="003F77BC">
        <w:rPr>
          <w:rFonts w:ascii="Times New Roman" w:hAnsi="Times New Roman"/>
          <w:lang w:eastAsia="zh-CN"/>
        </w:rPr>
        <w:t xml:space="preserve"> </w:t>
      </w:r>
      <w:r w:rsidRPr="00F51094">
        <w:rPr>
          <w:rFonts w:ascii="Times New Roman" w:hAnsi="Times New Roman"/>
          <w:color w:val="FF0000"/>
          <w:lang w:eastAsia="zh-CN"/>
        </w:rPr>
        <w:t>202</w:t>
      </w:r>
      <w:r w:rsidR="00F51094" w:rsidRPr="00F51094">
        <w:rPr>
          <w:rFonts w:ascii="Times New Roman" w:hAnsi="Times New Roman"/>
          <w:color w:val="FF0000"/>
          <w:lang w:eastAsia="zh-CN"/>
        </w:rPr>
        <w:t>6</w:t>
      </w:r>
      <w:r w:rsidRPr="003F77BC">
        <w:rPr>
          <w:rFonts w:ascii="Times New Roman" w:hAnsi="Times New Roman"/>
          <w:lang w:eastAsia="zh-CN"/>
        </w:rPr>
        <w:t>.</w:t>
      </w:r>
    </w:p>
    <w:p w14:paraId="7C431176" w14:textId="28BD55A0" w:rsidR="003F77BC" w:rsidRDefault="003F77BC" w:rsidP="00F51094">
      <w:pPr>
        <w:spacing w:before="100" w:after="0" w:line="240" w:lineRule="auto"/>
        <w:jc w:val="both"/>
        <w:rPr>
          <w:rFonts w:ascii="Times New Roman" w:hAnsi="Times New Roman"/>
          <w:lang w:eastAsia="zh-CN"/>
        </w:rPr>
      </w:pPr>
      <w:r w:rsidRPr="003F77BC">
        <w:rPr>
          <w:rFonts w:ascii="Times New Roman" w:hAnsi="Times New Roman"/>
          <w:lang w:eastAsia="zh-CN"/>
        </w:rPr>
        <w:t>Le volume de certificats d’économies d’énergie délivré dans le cadre de ce programme n’excède pas 3 TWh</w:t>
      </w:r>
      <w:r w:rsidR="00F51094">
        <w:rPr>
          <w:rFonts w:ascii="Times New Roman" w:hAnsi="Times New Roman"/>
          <w:lang w:eastAsia="zh-CN"/>
        </w:rPr>
        <w:t xml:space="preserve"> </w:t>
      </w:r>
      <w:proofErr w:type="spellStart"/>
      <w:r w:rsidRPr="003F77BC">
        <w:rPr>
          <w:rFonts w:ascii="Times New Roman" w:hAnsi="Times New Roman"/>
          <w:lang w:eastAsia="zh-CN"/>
        </w:rPr>
        <w:t>cumac</w:t>
      </w:r>
      <w:proofErr w:type="spellEnd"/>
      <w:r w:rsidRPr="003F77BC">
        <w:rPr>
          <w:rFonts w:ascii="Times New Roman" w:hAnsi="Times New Roman"/>
          <w:lang w:eastAsia="zh-CN"/>
        </w:rPr>
        <w:t xml:space="preserve"> sur la période 2018-</w:t>
      </w:r>
      <w:r w:rsidRPr="00F51094">
        <w:rPr>
          <w:rFonts w:ascii="Times New Roman" w:hAnsi="Times New Roman"/>
          <w:color w:val="FF0000"/>
          <w:lang w:eastAsia="zh-CN"/>
        </w:rPr>
        <w:t>202</w:t>
      </w:r>
      <w:r w:rsidR="00F51094" w:rsidRPr="00F51094">
        <w:rPr>
          <w:rFonts w:ascii="Times New Roman" w:hAnsi="Times New Roman"/>
          <w:color w:val="FF0000"/>
          <w:lang w:eastAsia="zh-CN"/>
        </w:rPr>
        <w:t>6</w:t>
      </w:r>
      <w:r w:rsidRPr="003F77BC">
        <w:rPr>
          <w:rFonts w:ascii="Times New Roman" w:hAnsi="Times New Roman"/>
          <w:lang w:eastAsia="zh-CN"/>
        </w:rPr>
        <w:t>.</w:t>
      </w:r>
    </w:p>
    <w:p w14:paraId="7B2B2C37" w14:textId="77777777" w:rsidR="00F51094" w:rsidRPr="00F51094" w:rsidRDefault="00F51094" w:rsidP="00F51094">
      <w:pPr>
        <w:spacing w:before="100" w:after="0" w:line="240" w:lineRule="auto"/>
        <w:jc w:val="both"/>
        <w:rPr>
          <w:rFonts w:ascii="Times New Roman" w:hAnsi="Times New Roman"/>
          <w:sz w:val="16"/>
          <w:szCs w:val="16"/>
          <w:lang w:eastAsia="zh-CN"/>
        </w:rPr>
      </w:pPr>
    </w:p>
    <w:p w14:paraId="3401D1CE" w14:textId="77777777" w:rsidR="003F77BC" w:rsidRPr="00F51094" w:rsidRDefault="003F77BC" w:rsidP="00F51094">
      <w:pPr>
        <w:spacing w:before="100" w:after="0" w:line="240" w:lineRule="auto"/>
        <w:jc w:val="both"/>
        <w:rPr>
          <w:rFonts w:ascii="Times New Roman" w:hAnsi="Times New Roman"/>
          <w:b/>
          <w:bCs/>
          <w:u w:val="single"/>
          <w:lang w:eastAsia="zh-CN"/>
        </w:rPr>
      </w:pPr>
      <w:r w:rsidRPr="00F51094">
        <w:rPr>
          <w:rFonts w:ascii="Times New Roman" w:hAnsi="Times New Roman"/>
          <w:b/>
          <w:bCs/>
          <w:u w:val="single"/>
          <w:lang w:eastAsia="zh-CN"/>
        </w:rPr>
        <w:t>3. Conditions pour la délivrance de certificats</w:t>
      </w:r>
    </w:p>
    <w:p w14:paraId="5575CA39" w14:textId="4D61E705" w:rsidR="003F77BC" w:rsidRPr="003F77BC" w:rsidRDefault="003F77BC" w:rsidP="003F77BC">
      <w:pPr>
        <w:spacing w:before="100" w:after="0" w:line="240" w:lineRule="auto"/>
        <w:jc w:val="both"/>
        <w:rPr>
          <w:rFonts w:ascii="Times New Roman" w:hAnsi="Times New Roman"/>
          <w:lang w:eastAsia="zh-CN"/>
        </w:rPr>
      </w:pPr>
      <w:r w:rsidRPr="003F77BC">
        <w:rPr>
          <w:rFonts w:ascii="Times New Roman" w:hAnsi="Times New Roman"/>
          <w:lang w:eastAsia="zh-CN"/>
        </w:rPr>
        <w:t>La contribution au programme ouvre droit à la délivrance de certificats d’économies d’énergie pour les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 xml:space="preserve">versements effectués à compter de l’entrée en vigueur du présent arrêté et jusqu’au 31 décembre </w:t>
      </w:r>
      <w:r w:rsidRPr="00F51094">
        <w:rPr>
          <w:rFonts w:ascii="Times New Roman" w:hAnsi="Times New Roman"/>
          <w:color w:val="FF0000"/>
          <w:lang w:eastAsia="zh-CN"/>
        </w:rPr>
        <w:t>202</w:t>
      </w:r>
      <w:r w:rsidR="00F51094" w:rsidRPr="00F51094">
        <w:rPr>
          <w:rFonts w:ascii="Times New Roman" w:hAnsi="Times New Roman"/>
          <w:color w:val="FF0000"/>
          <w:lang w:eastAsia="zh-CN"/>
        </w:rPr>
        <w:t>6</w:t>
      </w:r>
      <w:r w:rsidRPr="003F77BC">
        <w:rPr>
          <w:rFonts w:ascii="Times New Roman" w:hAnsi="Times New Roman"/>
          <w:lang w:eastAsia="zh-CN"/>
        </w:rPr>
        <w:t>, dans les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>conditions prévues par l’arrêté du 4 septembre 2014 fixant la liste des éléments d’une demande de certificats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>d’économies d’énergie et les documents à archiver par le demandeur, et conformément à la convention signée entre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>l’Etat, la SGFGAS et les autres parties concernées.</w:t>
      </w:r>
    </w:p>
    <w:p w14:paraId="118DAFD1" w14:textId="68DB5188" w:rsidR="00F51094" w:rsidRDefault="003F77BC" w:rsidP="003F77BC">
      <w:pPr>
        <w:spacing w:before="100" w:after="0" w:line="240" w:lineRule="auto"/>
        <w:jc w:val="both"/>
        <w:rPr>
          <w:rFonts w:ascii="Times New Roman" w:hAnsi="Times New Roman"/>
          <w:lang w:eastAsia="zh-CN"/>
        </w:rPr>
      </w:pPr>
      <w:r w:rsidRPr="003F77BC">
        <w:rPr>
          <w:rFonts w:ascii="Times New Roman" w:hAnsi="Times New Roman"/>
          <w:lang w:eastAsia="zh-CN"/>
        </w:rPr>
        <w:t>Les fonds versés pour le volet « éco-prêts individuels pour les ménages modestes » donnent lieu à délivrance de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>CEE « précarité énergétique » ; ceux versés pour le volet « prêts avance mutation » et « prêts collectifs » à</w:t>
      </w:r>
      <w:r w:rsidR="00F51094">
        <w:rPr>
          <w:rFonts w:ascii="Times New Roman" w:hAnsi="Times New Roman"/>
          <w:lang w:eastAsia="zh-CN"/>
        </w:rPr>
        <w:t xml:space="preserve"> </w:t>
      </w:r>
      <w:r w:rsidRPr="003F77BC">
        <w:rPr>
          <w:rFonts w:ascii="Times New Roman" w:hAnsi="Times New Roman"/>
          <w:lang w:eastAsia="zh-CN"/>
        </w:rPr>
        <w:t>délivrance de CEE « classiques ».</w:t>
      </w:r>
    </w:p>
    <w:p w14:paraId="40D3B01D" w14:textId="77777777" w:rsidR="00F51094" w:rsidRPr="00F51094" w:rsidRDefault="00F51094" w:rsidP="003F77BC">
      <w:pPr>
        <w:spacing w:before="100" w:after="0" w:line="240" w:lineRule="auto"/>
        <w:jc w:val="both"/>
        <w:rPr>
          <w:rFonts w:ascii="Times New Roman" w:hAnsi="Times New Roman"/>
          <w:sz w:val="16"/>
          <w:szCs w:val="16"/>
          <w:lang w:eastAsia="zh-CN"/>
        </w:rPr>
      </w:pPr>
    </w:p>
    <w:p w14:paraId="3210D7EE" w14:textId="77777777" w:rsidR="003F77BC" w:rsidRPr="00F51094" w:rsidRDefault="003F77BC" w:rsidP="003F77BC">
      <w:pPr>
        <w:spacing w:before="100" w:after="0" w:line="240" w:lineRule="auto"/>
        <w:jc w:val="both"/>
        <w:rPr>
          <w:rFonts w:ascii="Times New Roman" w:hAnsi="Times New Roman"/>
          <w:b/>
          <w:bCs/>
          <w:u w:val="single"/>
          <w:lang w:eastAsia="zh-CN"/>
        </w:rPr>
      </w:pPr>
      <w:r w:rsidRPr="00F51094">
        <w:rPr>
          <w:rFonts w:ascii="Times New Roman" w:hAnsi="Times New Roman"/>
          <w:b/>
          <w:bCs/>
          <w:u w:val="single"/>
          <w:lang w:eastAsia="zh-CN"/>
        </w:rPr>
        <w:t xml:space="preserve">4. Volume de certificats en kWh </w:t>
      </w:r>
      <w:proofErr w:type="spellStart"/>
      <w:r w:rsidRPr="00F51094">
        <w:rPr>
          <w:rFonts w:ascii="Times New Roman" w:hAnsi="Times New Roman"/>
          <w:b/>
          <w:bCs/>
          <w:u w:val="single"/>
          <w:lang w:eastAsia="zh-CN"/>
        </w:rPr>
        <w:t>cumac</w:t>
      </w:r>
      <w:proofErr w:type="spellEnd"/>
    </w:p>
    <w:p w14:paraId="4D53C516" w14:textId="664E1D30" w:rsidR="001444F5" w:rsidRDefault="003F77BC" w:rsidP="003F77BC">
      <w:pPr>
        <w:spacing w:before="100" w:after="0" w:line="240" w:lineRule="auto"/>
        <w:jc w:val="both"/>
        <w:rPr>
          <w:rFonts w:ascii="Times New Roman" w:hAnsi="Times New Roman"/>
          <w:lang w:eastAsia="zh-CN"/>
        </w:rPr>
      </w:pPr>
      <w:r w:rsidRPr="003F77BC">
        <w:rPr>
          <w:rFonts w:ascii="Times New Roman" w:hAnsi="Times New Roman"/>
          <w:lang w:eastAsia="zh-CN"/>
        </w:rPr>
        <w:t>Pour la participation au volet « éco-prêts individuels pour les ménages modestes » :</w:t>
      </w:r>
      <w:r w:rsidR="00F51094">
        <w:rPr>
          <w:rFonts w:ascii="Times New Roman" w:hAnsi="Times New Roman"/>
          <w:lang w:eastAsia="zh-CN"/>
        </w:rPr>
        <w:t xml:space="preserve"> </w:t>
      </w:r>
    </w:p>
    <w:tbl>
      <w:tblPr>
        <w:tblW w:w="897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2521"/>
        <w:gridCol w:w="579"/>
        <w:gridCol w:w="2557"/>
        <w:gridCol w:w="717"/>
        <w:gridCol w:w="2604"/>
      </w:tblGrid>
      <w:tr w:rsidR="00F51094" w14:paraId="6C0E634F" w14:textId="77777777" w:rsidTr="009A4F61">
        <w:trPr>
          <w:trHeight w:val="2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3208C9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 de certificats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87BF84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CB0324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Contribution (en €)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1447444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2D15AA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Facteur de proportionnalité</w:t>
            </w:r>
          </w:p>
          <w:p w14:paraId="0EA5071C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</w:rPr>
              <w:t>en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€ HT / kWh </w:t>
            </w:r>
            <w:proofErr w:type="spellStart"/>
            <w:r>
              <w:rPr>
                <w:rFonts w:ascii="Times New Roman" w:hAnsi="Times New Roman"/>
                <w:color w:val="000000"/>
              </w:rPr>
              <w:t>cumac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F51094" w14:paraId="2026070F" w14:textId="77777777" w:rsidTr="009A4F61">
        <w:trPr>
          <w:trHeight w:val="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F04B8FE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339ECAB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395AD4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35E307D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/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F76EB19" w14:textId="77777777" w:rsidR="00F51094" w:rsidRDefault="00F51094" w:rsidP="009A4F6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0,007</w:t>
            </w:r>
          </w:p>
        </w:tc>
      </w:tr>
    </w:tbl>
    <w:p w14:paraId="5DC29DF1" w14:textId="77777777" w:rsidR="00F51094" w:rsidRPr="00F51094" w:rsidRDefault="00F51094" w:rsidP="003F77BC">
      <w:pPr>
        <w:spacing w:before="100" w:after="0" w:line="240" w:lineRule="auto"/>
        <w:jc w:val="both"/>
        <w:rPr>
          <w:rFonts w:ascii="Times New Roman" w:hAnsi="Times New Roman"/>
          <w:sz w:val="16"/>
          <w:szCs w:val="16"/>
          <w:lang w:eastAsia="zh-CN"/>
        </w:rPr>
      </w:pPr>
    </w:p>
    <w:p w14:paraId="01F09C11" w14:textId="23746EB6" w:rsidR="00F51094" w:rsidRDefault="00F51094" w:rsidP="003F77BC">
      <w:pPr>
        <w:spacing w:before="10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zh-CN"/>
        </w:rPr>
        <w:t xml:space="preserve">Pour la participation au volet « prêts collectifs » : </w:t>
      </w:r>
    </w:p>
    <w:p w14:paraId="440A6223" w14:textId="77777777" w:rsidR="001444F5" w:rsidRDefault="001444F5" w:rsidP="001444F5">
      <w:pPr>
        <w:spacing w:after="0" w:line="252" w:lineRule="auto"/>
        <w:jc w:val="both"/>
        <w:rPr>
          <w:rFonts w:ascii="Times New Roman" w:hAnsi="Times New Roman"/>
          <w:sz w:val="14"/>
        </w:rPr>
      </w:pPr>
    </w:p>
    <w:tbl>
      <w:tblPr>
        <w:tblW w:w="897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2521"/>
        <w:gridCol w:w="579"/>
        <w:gridCol w:w="2557"/>
        <w:gridCol w:w="717"/>
        <w:gridCol w:w="2604"/>
      </w:tblGrid>
      <w:tr w:rsidR="001444F5" w14:paraId="3C5417F5" w14:textId="77777777" w:rsidTr="00F51F06">
        <w:trPr>
          <w:trHeight w:val="2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63B27A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 de certificats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4C2E363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39A2A79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Contribution (en €)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C5C582B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DAF5F42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Facteur de proportionnalité</w:t>
            </w:r>
          </w:p>
          <w:p w14:paraId="2BE64790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</w:rPr>
              <w:t>en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€ HT / kWh </w:t>
            </w:r>
            <w:proofErr w:type="spellStart"/>
            <w:r>
              <w:rPr>
                <w:rFonts w:ascii="Times New Roman" w:hAnsi="Times New Roman"/>
                <w:color w:val="000000"/>
              </w:rPr>
              <w:t>cumac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1444F5" w14:paraId="0B78E5B0" w14:textId="77777777" w:rsidTr="00F51F06">
        <w:trPr>
          <w:trHeight w:val="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127F823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566F9EE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A8F078B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C2103B0" w14:textId="77777777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/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9974684" w14:textId="75EA81FC" w:rsidR="001444F5" w:rsidRDefault="001444F5" w:rsidP="00F51F06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0,00</w:t>
            </w:r>
            <w:r w:rsidR="00D049F5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</w:tr>
    </w:tbl>
    <w:p w14:paraId="3289F480" w14:textId="77777777" w:rsidR="004E7004" w:rsidRDefault="004E7004" w:rsidP="00F51094">
      <w:pPr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  <w:lang w:val="en-GB" w:eastAsia="zh-CN"/>
        </w:rPr>
      </w:pPr>
    </w:p>
    <w:p w14:paraId="46BFB749" w14:textId="06B446FA" w:rsidR="00964E89" w:rsidRPr="00A24CBE" w:rsidRDefault="004E7004" w:rsidP="002E41FD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lang w:val="en-GB" w:eastAsia="zh-CN"/>
        </w:rPr>
      </w:pPr>
      <w:r>
        <w:rPr>
          <w:rFonts w:ascii="Times New Roman" w:hAnsi="Times New Roman"/>
          <w:color w:val="00000A"/>
          <w:sz w:val="24"/>
          <w:szCs w:val="24"/>
          <w:lang w:val="en-GB" w:eastAsia="zh-CN"/>
        </w:rPr>
        <w:br w:type="page"/>
      </w:r>
      <w:r w:rsidR="00964E89" w:rsidRPr="00A24CBE">
        <w:rPr>
          <w:rFonts w:ascii="Times New Roman" w:hAnsi="Times New Roman"/>
          <w:color w:val="00000A"/>
          <w:sz w:val="24"/>
          <w:szCs w:val="24"/>
          <w:lang w:val="en-GB" w:eastAsia="zh-CN"/>
        </w:rPr>
        <w:lastRenderedPageBreak/>
        <w:t>ANNEXE</w:t>
      </w:r>
      <w:r w:rsidR="00964E89">
        <w:rPr>
          <w:rFonts w:ascii="Times New Roman" w:hAnsi="Times New Roman"/>
          <w:color w:val="00000A"/>
          <w:sz w:val="24"/>
          <w:szCs w:val="24"/>
          <w:lang w:val="en-GB" w:eastAsia="zh-CN"/>
        </w:rPr>
        <w:t xml:space="preserve"> II</w:t>
      </w:r>
    </w:p>
    <w:p w14:paraId="43E73A92" w14:textId="77777777" w:rsidR="00964E89" w:rsidRPr="00FD09F4" w:rsidRDefault="00964E89" w:rsidP="00964E89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lang w:val="en-GB" w:eastAsia="zh-CN"/>
        </w:rPr>
      </w:pPr>
      <w:r>
        <w:rPr>
          <w:rFonts w:ascii="Times New Roman" w:hAnsi="Times New Roman"/>
          <w:noProof/>
          <w:color w:val="00000A"/>
          <w:sz w:val="24"/>
          <w:szCs w:val="24"/>
          <w:lang w:val="en-GB" w:eastAsia="zh-CN"/>
        </w:rPr>
        <w:drawing>
          <wp:inline distT="0" distB="0" distL="0" distR="0" wp14:anchorId="3E022EDF" wp14:editId="74CCF9F3">
            <wp:extent cx="1143000" cy="887193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66" cy="888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BEBEB8" w14:textId="77777777" w:rsidR="00964E89" w:rsidRPr="00FD09F4" w:rsidRDefault="00964E89" w:rsidP="00964E89">
      <w:pPr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  <w:lang w:val="en-GB" w:eastAsia="zh-CN"/>
        </w:rPr>
      </w:pPr>
    </w:p>
    <w:p w14:paraId="68A75DDA" w14:textId="6CF8F11D" w:rsidR="00964E89" w:rsidRDefault="00964E89" w:rsidP="00964E89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lang w:val="en-GB" w:eastAsia="zh-CN"/>
        </w:rPr>
      </w:pPr>
      <w:r w:rsidRPr="00FD09F4">
        <w:rPr>
          <w:rFonts w:ascii="Times New Roman" w:hAnsi="Times New Roman"/>
          <w:bCs/>
          <w:sz w:val="24"/>
          <w:szCs w:val="24"/>
          <w:lang w:val="en-GB"/>
        </w:rPr>
        <w:t xml:space="preserve">Programme n° </w:t>
      </w:r>
      <w:r w:rsidRPr="006931C7">
        <w:rPr>
          <w:rFonts w:ascii="Times New Roman" w:hAnsi="Times New Roman"/>
          <w:b/>
          <w:bCs/>
          <w:color w:val="00000A"/>
          <w:sz w:val="24"/>
          <w:szCs w:val="24"/>
          <w:lang w:val="en-GB" w:eastAsia="zh-CN"/>
        </w:rPr>
        <w:t>PRO-</w:t>
      </w:r>
      <w:r w:rsidR="00B13E06">
        <w:rPr>
          <w:rFonts w:ascii="Times New Roman" w:hAnsi="Times New Roman"/>
          <w:b/>
          <w:bCs/>
          <w:color w:val="00000A"/>
          <w:sz w:val="24"/>
          <w:szCs w:val="24"/>
          <w:lang w:val="en-GB" w:eastAsia="zh-CN"/>
        </w:rPr>
        <w:t>INFO-PE-03</w:t>
      </w:r>
    </w:p>
    <w:p w14:paraId="77C85932" w14:textId="77777777" w:rsidR="00964E89" w:rsidRPr="00256AF4" w:rsidRDefault="00964E89" w:rsidP="00964E89">
      <w:pPr>
        <w:jc w:val="center"/>
        <w:rPr>
          <w:rFonts w:ascii="Times New Roman" w:hAnsi="Times New Roman"/>
          <w:bCs/>
          <w:lang w:val="en-US"/>
        </w:rPr>
      </w:pPr>
    </w:p>
    <w:tbl>
      <w:tblPr>
        <w:tblW w:w="936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964E89" w14:paraId="586918B9" w14:textId="77777777" w:rsidTr="00037EAE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14:paraId="5C12CDAC" w14:textId="42BB9F42" w:rsidR="00964E89" w:rsidRPr="00B13E06" w:rsidRDefault="00B13E06" w:rsidP="00037EAE">
            <w:pPr>
              <w:spacing w:beforeAutospacing="1"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B13E0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SLIME+</w:t>
            </w:r>
          </w:p>
        </w:tc>
      </w:tr>
    </w:tbl>
    <w:p w14:paraId="52E657DC" w14:textId="77777777" w:rsidR="00964E89" w:rsidRDefault="00964E89" w:rsidP="00964E89">
      <w:pPr>
        <w:spacing w:beforeAutospacing="1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u w:val="single"/>
        </w:rPr>
        <w:t>1. Secteur d’application</w:t>
      </w:r>
    </w:p>
    <w:p w14:paraId="69C566EA" w14:textId="77777777" w:rsidR="00964E89" w:rsidRDefault="00964E89" w:rsidP="00964E89">
      <w:pPr>
        <w:spacing w:after="0"/>
        <w:rPr>
          <w:rFonts w:ascii="Times New Roman" w:hAnsi="Times New Roman"/>
          <w:color w:val="000000"/>
          <w:sz w:val="6"/>
        </w:rPr>
      </w:pPr>
    </w:p>
    <w:p w14:paraId="519819C9" w14:textId="4612CCC0" w:rsidR="00B13E06" w:rsidRDefault="00B13E06" w:rsidP="00B13E06">
      <w:pPr>
        <w:spacing w:after="0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Information au bénéfice des ménages en situation de précarité énergétique.</w:t>
      </w:r>
    </w:p>
    <w:p w14:paraId="5A45BFEF" w14:textId="77777777" w:rsidR="00B13E06" w:rsidRPr="00B13E06" w:rsidRDefault="00B13E06" w:rsidP="00B13E06">
      <w:pPr>
        <w:spacing w:after="0"/>
        <w:rPr>
          <w:rFonts w:ascii="Times New Roman" w:hAnsi="Times New Roman"/>
          <w:color w:val="000000"/>
        </w:rPr>
      </w:pPr>
    </w:p>
    <w:p w14:paraId="5322259C" w14:textId="77777777" w:rsidR="00B13E06" w:rsidRPr="00B13E06" w:rsidRDefault="00B13E06" w:rsidP="00B13E06">
      <w:pPr>
        <w:spacing w:after="0"/>
        <w:rPr>
          <w:rFonts w:ascii="Times New Roman" w:hAnsi="Times New Roman"/>
          <w:b/>
          <w:bCs/>
          <w:color w:val="000000"/>
          <w:u w:val="single"/>
        </w:rPr>
      </w:pPr>
      <w:r w:rsidRPr="00B13E06">
        <w:rPr>
          <w:rFonts w:ascii="Times New Roman" w:hAnsi="Times New Roman"/>
          <w:b/>
          <w:bCs/>
          <w:color w:val="000000"/>
          <w:u w:val="single"/>
        </w:rPr>
        <w:t>2. Dénomination et objet</w:t>
      </w:r>
    </w:p>
    <w:p w14:paraId="315FD35B" w14:textId="0FB836AB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Programme d’information « SLIME » (Services Locaux d’Intervention pour la Maitrise de l’Energie) – porté par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le CLER – Réseau pour la transition énergétique, qui vise à organiser, outiller et cofinancer les actions de lutte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contre la précarité énergétique dans les territoires, afin de massifier le repérage des ménages concernés, de les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orienter vers des solutions adaptées et, si nécessaire, de les accompagner jusqu’à la mise en œuvre de ces solutions.</w:t>
      </w:r>
    </w:p>
    <w:p w14:paraId="1A2D7446" w14:textId="77777777" w:rsid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</w:p>
    <w:p w14:paraId="443C12E4" w14:textId="7FF2A193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La méthodologie SLIME+ s’organise en 4 étapes :</w:t>
      </w:r>
    </w:p>
    <w:p w14:paraId="4DB7A547" w14:textId="4D13A855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– repérage : organisation d’une chaîne de détection des ménages en situation de précarité énergétique par la</w:t>
      </w:r>
      <w:r w:rsidR="00BB3931"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mobilisation des acteurs concernés du territoire ;</w:t>
      </w:r>
    </w:p>
    <w:p w14:paraId="27002EB6" w14:textId="4897BB20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– diagnostic : Réalisation d’un diagnostic socio technique au domicile des ménages, avec l’installation de petits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équipements permettant des économies d’énergie directes ;</w:t>
      </w:r>
    </w:p>
    <w:p w14:paraId="4D0CC52C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– orientation : des ménages vers des dispositifs et programmes adaptés à leur situation ;</w:t>
      </w:r>
    </w:p>
    <w:p w14:paraId="3C0CC3BB" w14:textId="17B50851" w:rsid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– accompagnement : pour au moins 20 % des ménages pour les aider à engager la mise en œuvre des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orientations proposées.</w:t>
      </w:r>
    </w:p>
    <w:p w14:paraId="170CD801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</w:p>
    <w:p w14:paraId="50BDA40A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 xml:space="preserve">Le programme </w:t>
      </w:r>
      <w:proofErr w:type="spellStart"/>
      <w:r w:rsidRPr="00B13E06">
        <w:rPr>
          <w:rFonts w:ascii="Times New Roman" w:hAnsi="Times New Roman"/>
          <w:color w:val="000000"/>
        </w:rPr>
        <w:t>Slime</w:t>
      </w:r>
      <w:proofErr w:type="spellEnd"/>
      <w:r w:rsidRPr="00B13E06">
        <w:rPr>
          <w:rFonts w:ascii="Times New Roman" w:hAnsi="Times New Roman"/>
          <w:color w:val="000000"/>
        </w:rPr>
        <w:t xml:space="preserve"> + cible les ménages définis à l’article 3.1 de l’arrêté modifié du 29 décembre 2014 relatif</w:t>
      </w:r>
    </w:p>
    <w:p w14:paraId="164AFBF0" w14:textId="313BD559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proofErr w:type="gramStart"/>
      <w:r w:rsidRPr="00B13E06">
        <w:rPr>
          <w:rFonts w:ascii="Times New Roman" w:hAnsi="Times New Roman"/>
          <w:color w:val="000000"/>
        </w:rPr>
        <w:t>aux</w:t>
      </w:r>
      <w:proofErr w:type="gramEnd"/>
      <w:r w:rsidRPr="00B13E06">
        <w:rPr>
          <w:rFonts w:ascii="Times New Roman" w:hAnsi="Times New Roman"/>
          <w:color w:val="000000"/>
        </w:rPr>
        <w:t xml:space="preserve"> modalités d’application du dispositif des certificats d’économies d’énergie. Il a pour objectifs d’ici </w:t>
      </w:r>
      <w:r w:rsidRPr="003F77BC">
        <w:rPr>
          <w:rFonts w:ascii="Times New Roman" w:hAnsi="Times New Roman"/>
          <w:color w:val="FF0000"/>
        </w:rPr>
        <w:t>2027</w:t>
      </w:r>
      <w:r w:rsidR="003F77BC">
        <w:rPr>
          <w:rFonts w:ascii="Times New Roman" w:hAnsi="Times New Roman"/>
          <w:color w:val="FF0000"/>
        </w:rPr>
        <w:t xml:space="preserve"> </w:t>
      </w:r>
      <w:r w:rsidRPr="00B13E06">
        <w:rPr>
          <w:rFonts w:ascii="Times New Roman" w:hAnsi="Times New Roman"/>
          <w:color w:val="000000"/>
        </w:rPr>
        <w:t>:</w:t>
      </w:r>
    </w:p>
    <w:p w14:paraId="55582AC6" w14:textId="3764EEE7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 xml:space="preserve">100 collectivités engagées dans la méthodologie </w:t>
      </w:r>
      <w:proofErr w:type="spellStart"/>
      <w:r w:rsidRPr="00B13E06">
        <w:rPr>
          <w:rFonts w:ascii="Times New Roman" w:hAnsi="Times New Roman"/>
          <w:color w:val="000000"/>
        </w:rPr>
        <w:t>Slime</w:t>
      </w:r>
      <w:proofErr w:type="spellEnd"/>
      <w:r w:rsidRPr="00B13E06">
        <w:rPr>
          <w:rFonts w:ascii="Times New Roman" w:hAnsi="Times New Roman"/>
          <w:color w:val="000000"/>
        </w:rPr>
        <w:t>, 100 000 ménages pris en charge et 35 % de la population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 xml:space="preserve">nationale résidant dans un territoire couvert par un </w:t>
      </w:r>
      <w:proofErr w:type="spellStart"/>
      <w:r w:rsidRPr="00B13E06">
        <w:rPr>
          <w:rFonts w:ascii="Times New Roman" w:hAnsi="Times New Roman"/>
          <w:color w:val="000000"/>
        </w:rPr>
        <w:t>Slime</w:t>
      </w:r>
      <w:proofErr w:type="spellEnd"/>
      <w:r w:rsidRPr="00B13E06">
        <w:rPr>
          <w:rFonts w:ascii="Times New Roman" w:hAnsi="Times New Roman"/>
          <w:color w:val="000000"/>
        </w:rPr>
        <w:t>.</w:t>
      </w:r>
    </w:p>
    <w:p w14:paraId="1957D08D" w14:textId="77777777" w:rsid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</w:p>
    <w:p w14:paraId="3BEE3BB3" w14:textId="471E4906" w:rsid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 xml:space="preserve">Le volume de certificats d’économies d’énergie délivré dans le cadre de ce programme n’excède pas 7 016 </w:t>
      </w:r>
      <w:proofErr w:type="gramStart"/>
      <w:r w:rsidRPr="00B13E06">
        <w:rPr>
          <w:rFonts w:ascii="Times New Roman" w:hAnsi="Times New Roman"/>
          <w:color w:val="000000"/>
        </w:rPr>
        <w:t>GWh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 w:rsidRPr="00B13E06">
        <w:rPr>
          <w:rFonts w:ascii="Times New Roman" w:hAnsi="Times New Roman"/>
          <w:color w:val="000000"/>
        </w:rPr>
        <w:t>cumac</w:t>
      </w:r>
      <w:proofErr w:type="spellEnd"/>
      <w:r w:rsidRPr="00B13E06">
        <w:rPr>
          <w:rFonts w:ascii="Times New Roman" w:hAnsi="Times New Roman"/>
          <w:color w:val="000000"/>
        </w:rPr>
        <w:t xml:space="preserve"> sur la période 2022-</w:t>
      </w:r>
      <w:r w:rsidRPr="003F77BC">
        <w:rPr>
          <w:rFonts w:ascii="Times New Roman" w:hAnsi="Times New Roman"/>
          <w:color w:val="FF0000"/>
        </w:rPr>
        <w:t>2027</w:t>
      </w:r>
      <w:r w:rsidRPr="00B13E06">
        <w:rPr>
          <w:rFonts w:ascii="Times New Roman" w:hAnsi="Times New Roman"/>
          <w:color w:val="000000"/>
        </w:rPr>
        <w:t>.</w:t>
      </w:r>
    </w:p>
    <w:p w14:paraId="6FE439DA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</w:p>
    <w:p w14:paraId="3D751AF8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B13E06">
        <w:rPr>
          <w:rFonts w:ascii="Times New Roman" w:hAnsi="Times New Roman"/>
          <w:b/>
          <w:bCs/>
          <w:color w:val="000000"/>
          <w:u w:val="single"/>
        </w:rPr>
        <w:t>3. Conditions pour la délivrance de certificats</w:t>
      </w:r>
    </w:p>
    <w:p w14:paraId="509866DF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La contribution au programme ouvre droit à la délivrance de certificats d’économies d’énergie au bénéfice de</w:t>
      </w:r>
    </w:p>
    <w:p w14:paraId="565C4883" w14:textId="147C6779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proofErr w:type="gramStart"/>
      <w:r w:rsidRPr="00B13E06">
        <w:rPr>
          <w:rFonts w:ascii="Times New Roman" w:hAnsi="Times New Roman"/>
          <w:color w:val="000000"/>
        </w:rPr>
        <w:t>ménages</w:t>
      </w:r>
      <w:proofErr w:type="gramEnd"/>
      <w:r w:rsidRPr="00B13E06">
        <w:rPr>
          <w:rFonts w:ascii="Times New Roman" w:hAnsi="Times New Roman"/>
          <w:color w:val="000000"/>
        </w:rPr>
        <w:t xml:space="preserve"> en situation de précarité énergétique pour les contributions versées jusqu’au 31 décembre </w:t>
      </w:r>
      <w:r w:rsidRPr="003F77BC">
        <w:rPr>
          <w:rFonts w:ascii="Times New Roman" w:hAnsi="Times New Roman"/>
          <w:color w:val="FF0000"/>
        </w:rPr>
        <w:t>202</w:t>
      </w:r>
      <w:r w:rsidR="003F77BC" w:rsidRPr="003F77BC">
        <w:rPr>
          <w:rFonts w:ascii="Times New Roman" w:hAnsi="Times New Roman"/>
          <w:color w:val="FF0000"/>
        </w:rPr>
        <w:t>7</w:t>
      </w:r>
      <w:r w:rsidRPr="00B13E06">
        <w:rPr>
          <w:rFonts w:ascii="Times New Roman" w:hAnsi="Times New Roman"/>
          <w:color w:val="000000"/>
        </w:rPr>
        <w:t>, et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conformément à la convention signée entre le CLER – Réseau pour la transition énergétique, l’Etat et les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financeurs.</w:t>
      </w:r>
    </w:p>
    <w:p w14:paraId="468C03CB" w14:textId="43C0AA58" w:rsid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Dans les conditions prévues par l’arrêté du 4 septembre 2014 modifié fixant la liste des éléments d’une demande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de certificats d’économies d’énergie et les documents à archiver par le demandeur, en respectant les termes de la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convention spécifique signée entre l’Etat, l’ADEME, le CLER – Réseau pour la transition énergétique et le cas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échéant les autres parties concernées.</w:t>
      </w:r>
    </w:p>
    <w:p w14:paraId="5153D147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</w:p>
    <w:p w14:paraId="047A5087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B13E06">
        <w:rPr>
          <w:rFonts w:ascii="Times New Roman" w:hAnsi="Times New Roman"/>
          <w:b/>
          <w:bCs/>
          <w:color w:val="000000"/>
          <w:u w:val="single"/>
        </w:rPr>
        <w:t xml:space="preserve">4. Volume de certificats en kWh </w:t>
      </w:r>
      <w:proofErr w:type="spellStart"/>
      <w:r w:rsidRPr="00B13E06">
        <w:rPr>
          <w:rFonts w:ascii="Times New Roman" w:hAnsi="Times New Roman"/>
          <w:b/>
          <w:bCs/>
          <w:color w:val="000000"/>
          <w:u w:val="single"/>
        </w:rPr>
        <w:t>cumac</w:t>
      </w:r>
      <w:proofErr w:type="spellEnd"/>
    </w:p>
    <w:p w14:paraId="636FECFC" w14:textId="77777777" w:rsidR="00B13E06" w:rsidRPr="00B13E06" w:rsidRDefault="00B13E06" w:rsidP="00B13E06">
      <w:pPr>
        <w:spacing w:after="0"/>
        <w:jc w:val="both"/>
        <w:rPr>
          <w:rFonts w:ascii="Times New Roman" w:hAnsi="Times New Roman"/>
          <w:color w:val="000000"/>
        </w:rPr>
      </w:pPr>
      <w:r w:rsidRPr="00B13E06">
        <w:rPr>
          <w:rFonts w:ascii="Times New Roman" w:hAnsi="Times New Roman"/>
          <w:color w:val="000000"/>
        </w:rPr>
        <w:t>La contribution au programme ouvre droit à la délivrance de certificats d’économies d’énergie au bénéfice de</w:t>
      </w:r>
    </w:p>
    <w:p w14:paraId="6B58E9D3" w14:textId="670ECD77" w:rsidR="00964E89" w:rsidRPr="00076E3E" w:rsidRDefault="00B13E06" w:rsidP="00B13E06">
      <w:pPr>
        <w:spacing w:after="0"/>
        <w:jc w:val="both"/>
        <w:rPr>
          <w:rFonts w:ascii="Times New Roman" w:hAnsi="Times New Roman"/>
        </w:rPr>
      </w:pPr>
      <w:proofErr w:type="gramStart"/>
      <w:r w:rsidRPr="00B13E06">
        <w:rPr>
          <w:rFonts w:ascii="Times New Roman" w:hAnsi="Times New Roman"/>
          <w:color w:val="000000"/>
        </w:rPr>
        <w:lastRenderedPageBreak/>
        <w:t>ménages</w:t>
      </w:r>
      <w:proofErr w:type="gramEnd"/>
      <w:r w:rsidRPr="00B13E06">
        <w:rPr>
          <w:rFonts w:ascii="Times New Roman" w:hAnsi="Times New Roman"/>
          <w:color w:val="000000"/>
        </w:rPr>
        <w:t xml:space="preserve"> en situation de précarité énergétique pour les versements effectués jusqu’au 31 décembre </w:t>
      </w:r>
      <w:r w:rsidRPr="003F77BC">
        <w:rPr>
          <w:rFonts w:ascii="Times New Roman" w:hAnsi="Times New Roman"/>
          <w:color w:val="FF0000"/>
        </w:rPr>
        <w:t xml:space="preserve">2027 </w:t>
      </w:r>
      <w:r w:rsidRPr="00B13E06">
        <w:rPr>
          <w:rFonts w:ascii="Times New Roman" w:hAnsi="Times New Roman"/>
          <w:color w:val="000000"/>
        </w:rPr>
        <w:t>selon le</w:t>
      </w:r>
      <w:r>
        <w:rPr>
          <w:rFonts w:ascii="Times New Roman" w:hAnsi="Times New Roman"/>
          <w:color w:val="000000"/>
        </w:rPr>
        <w:t xml:space="preserve"> </w:t>
      </w:r>
      <w:r w:rsidRPr="00B13E06">
        <w:rPr>
          <w:rFonts w:ascii="Times New Roman" w:hAnsi="Times New Roman"/>
          <w:color w:val="000000"/>
        </w:rPr>
        <w:t>facteur de proportionnalité suivant :</w:t>
      </w:r>
    </w:p>
    <w:p w14:paraId="59DF6604" w14:textId="77777777" w:rsidR="00964E89" w:rsidRDefault="00964E89" w:rsidP="00964E89">
      <w:pPr>
        <w:spacing w:after="0" w:line="252" w:lineRule="auto"/>
        <w:jc w:val="both"/>
        <w:rPr>
          <w:rFonts w:ascii="Times New Roman" w:hAnsi="Times New Roman"/>
          <w:sz w:val="14"/>
        </w:rPr>
      </w:pPr>
    </w:p>
    <w:tbl>
      <w:tblPr>
        <w:tblW w:w="897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2521"/>
        <w:gridCol w:w="579"/>
        <w:gridCol w:w="2557"/>
        <w:gridCol w:w="717"/>
        <w:gridCol w:w="2604"/>
      </w:tblGrid>
      <w:tr w:rsidR="00964E89" w14:paraId="02707E6A" w14:textId="77777777" w:rsidTr="00037EAE">
        <w:trPr>
          <w:trHeight w:val="2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5993A6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 de certificats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9822C3D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1E7C6F9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Contribution (en €)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C91BBF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53A2756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Facteur de proportionnalité</w:t>
            </w:r>
          </w:p>
          <w:p w14:paraId="4303C384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</w:rPr>
              <w:t>en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€ HT / kWh </w:t>
            </w:r>
            <w:proofErr w:type="spellStart"/>
            <w:r>
              <w:rPr>
                <w:rFonts w:ascii="Times New Roman" w:hAnsi="Times New Roman"/>
                <w:color w:val="000000"/>
              </w:rPr>
              <w:t>cumac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964E89" w14:paraId="54033DE7" w14:textId="77777777" w:rsidTr="00037EAE">
        <w:trPr>
          <w:trHeight w:val="6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AE6BB8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E674910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B6AC5C6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322A66" w14:textId="7777777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/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191735B" w14:textId="67714007" w:rsidR="00964E89" w:rsidRDefault="00964E89" w:rsidP="00037EAE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0,00</w:t>
            </w:r>
            <w:r w:rsidR="00B13E06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</w:tr>
    </w:tbl>
    <w:p w14:paraId="1B6AAA93" w14:textId="77777777" w:rsidR="00964E89" w:rsidRDefault="00964E89" w:rsidP="00964E89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lang w:val="en-GB" w:eastAsia="zh-CN"/>
        </w:rPr>
      </w:pPr>
    </w:p>
    <w:p w14:paraId="661E9334" w14:textId="77777777" w:rsidR="00964E89" w:rsidRDefault="00964E89" w:rsidP="00964E89">
      <w:pPr>
        <w:spacing w:after="0" w:line="240" w:lineRule="auto"/>
        <w:rPr>
          <w:rFonts w:ascii="Times New Roman" w:hAnsi="Times New Roman"/>
          <w:color w:val="00000A"/>
          <w:sz w:val="24"/>
          <w:szCs w:val="24"/>
          <w:lang w:val="en-GB" w:eastAsia="zh-CN"/>
        </w:rPr>
      </w:pPr>
    </w:p>
    <w:p w14:paraId="07C766C8" w14:textId="77777777" w:rsidR="002138E5" w:rsidRDefault="002138E5" w:rsidP="001444F5">
      <w:pPr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  <w:lang w:val="en-GB" w:eastAsia="zh-CN"/>
        </w:rPr>
      </w:pPr>
    </w:p>
    <w:sectPr w:rsidR="002138E5" w:rsidSect="00440944">
      <w:footerReference w:type="default" r:id="rId9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0EEE" w14:textId="77777777" w:rsidR="003D0336" w:rsidRDefault="003D0336">
      <w:pPr>
        <w:spacing w:after="0" w:line="240" w:lineRule="auto"/>
      </w:pPr>
      <w:r>
        <w:separator/>
      </w:r>
    </w:p>
  </w:endnote>
  <w:endnote w:type="continuationSeparator" w:id="0">
    <w:p w14:paraId="660169BF" w14:textId="77777777" w:rsidR="003D0336" w:rsidRDefault="003D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9D08" w14:textId="77777777" w:rsidR="005B42B2" w:rsidRDefault="005B42B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214B" w14:textId="77777777" w:rsidR="003D0336" w:rsidRDefault="003D0336">
      <w:pPr>
        <w:spacing w:after="0" w:line="240" w:lineRule="auto"/>
      </w:pPr>
      <w:r>
        <w:separator/>
      </w:r>
    </w:p>
  </w:footnote>
  <w:footnote w:type="continuationSeparator" w:id="0">
    <w:p w14:paraId="4DCC22AE" w14:textId="77777777" w:rsidR="003D0336" w:rsidRDefault="003D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637"/>
    <w:multiLevelType w:val="hybridMultilevel"/>
    <w:tmpl w:val="0EBC94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9CA"/>
    <w:multiLevelType w:val="hybridMultilevel"/>
    <w:tmpl w:val="6382D0F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13C44"/>
    <w:multiLevelType w:val="hybridMultilevel"/>
    <w:tmpl w:val="670E2582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F4A1066"/>
    <w:multiLevelType w:val="hybridMultilevel"/>
    <w:tmpl w:val="953EF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551"/>
    <w:multiLevelType w:val="hybridMultilevel"/>
    <w:tmpl w:val="68609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22239"/>
    <w:multiLevelType w:val="hybridMultilevel"/>
    <w:tmpl w:val="4302F9B0"/>
    <w:lvl w:ilvl="0" w:tplc="253CD9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C6E86"/>
    <w:multiLevelType w:val="hybridMultilevel"/>
    <w:tmpl w:val="CE1A7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5059"/>
    <w:multiLevelType w:val="hybridMultilevel"/>
    <w:tmpl w:val="660A1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368C9"/>
    <w:multiLevelType w:val="hybridMultilevel"/>
    <w:tmpl w:val="13AC0D32"/>
    <w:lvl w:ilvl="0" w:tplc="7E04D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125"/>
    <w:multiLevelType w:val="hybridMultilevel"/>
    <w:tmpl w:val="76227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BDC"/>
    <w:multiLevelType w:val="hybridMultilevel"/>
    <w:tmpl w:val="D7043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F5FEA"/>
    <w:multiLevelType w:val="hybridMultilevel"/>
    <w:tmpl w:val="508218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37E8D"/>
    <w:multiLevelType w:val="hybridMultilevel"/>
    <w:tmpl w:val="76D41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A5BAC"/>
    <w:multiLevelType w:val="hybridMultilevel"/>
    <w:tmpl w:val="3302604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0BB27BC"/>
    <w:multiLevelType w:val="hybridMultilevel"/>
    <w:tmpl w:val="0A9A2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407A3"/>
    <w:multiLevelType w:val="hybridMultilevel"/>
    <w:tmpl w:val="62EC8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5A94"/>
    <w:multiLevelType w:val="hybridMultilevel"/>
    <w:tmpl w:val="2F1A70F0"/>
    <w:lvl w:ilvl="0" w:tplc="7E04D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11F4A"/>
    <w:multiLevelType w:val="hybridMultilevel"/>
    <w:tmpl w:val="36BE94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84224"/>
    <w:multiLevelType w:val="hybridMultilevel"/>
    <w:tmpl w:val="719A8D48"/>
    <w:lvl w:ilvl="0" w:tplc="6366D8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17"/>
  </w:num>
  <w:num w:numId="15">
    <w:abstractNumId w:val="1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15"/>
    <w:rsid w:val="0001228F"/>
    <w:rsid w:val="0001312B"/>
    <w:rsid w:val="00015A1D"/>
    <w:rsid w:val="00023335"/>
    <w:rsid w:val="00035892"/>
    <w:rsid w:val="00045E16"/>
    <w:rsid w:val="00046627"/>
    <w:rsid w:val="00047FDD"/>
    <w:rsid w:val="00062D66"/>
    <w:rsid w:val="0007455C"/>
    <w:rsid w:val="00076E3E"/>
    <w:rsid w:val="00077266"/>
    <w:rsid w:val="000B07CE"/>
    <w:rsid w:val="000B7AC5"/>
    <w:rsid w:val="000E1681"/>
    <w:rsid w:val="000E7AFA"/>
    <w:rsid w:val="000F5FF6"/>
    <w:rsid w:val="001255FC"/>
    <w:rsid w:val="00135070"/>
    <w:rsid w:val="00137A2C"/>
    <w:rsid w:val="0014033E"/>
    <w:rsid w:val="00140A16"/>
    <w:rsid w:val="001444F5"/>
    <w:rsid w:val="00146098"/>
    <w:rsid w:val="00147322"/>
    <w:rsid w:val="00151CBC"/>
    <w:rsid w:val="00156B48"/>
    <w:rsid w:val="00156D82"/>
    <w:rsid w:val="0016168D"/>
    <w:rsid w:val="00163B0D"/>
    <w:rsid w:val="0016566F"/>
    <w:rsid w:val="00170C72"/>
    <w:rsid w:val="001A6F38"/>
    <w:rsid w:val="001C1DBB"/>
    <w:rsid w:val="001C35BB"/>
    <w:rsid w:val="001D77C5"/>
    <w:rsid w:val="001E3747"/>
    <w:rsid w:val="002138E5"/>
    <w:rsid w:val="00215A72"/>
    <w:rsid w:val="00216A34"/>
    <w:rsid w:val="002233AF"/>
    <w:rsid w:val="00231E79"/>
    <w:rsid w:val="00241BA9"/>
    <w:rsid w:val="00246DA2"/>
    <w:rsid w:val="0024741A"/>
    <w:rsid w:val="00253A7E"/>
    <w:rsid w:val="00256AF4"/>
    <w:rsid w:val="00260C31"/>
    <w:rsid w:val="00275155"/>
    <w:rsid w:val="00283FCD"/>
    <w:rsid w:val="00296067"/>
    <w:rsid w:val="002D1D37"/>
    <w:rsid w:val="002D1D6A"/>
    <w:rsid w:val="002D3CD5"/>
    <w:rsid w:val="002E2E48"/>
    <w:rsid w:val="002E41FD"/>
    <w:rsid w:val="002F20D5"/>
    <w:rsid w:val="002F4611"/>
    <w:rsid w:val="00300296"/>
    <w:rsid w:val="00305F87"/>
    <w:rsid w:val="00316FB3"/>
    <w:rsid w:val="00321F2B"/>
    <w:rsid w:val="00347476"/>
    <w:rsid w:val="003601BD"/>
    <w:rsid w:val="003619D9"/>
    <w:rsid w:val="00370D78"/>
    <w:rsid w:val="003740EF"/>
    <w:rsid w:val="00377ADF"/>
    <w:rsid w:val="00384FAF"/>
    <w:rsid w:val="003A08A9"/>
    <w:rsid w:val="003A6671"/>
    <w:rsid w:val="003A7A6B"/>
    <w:rsid w:val="003B279B"/>
    <w:rsid w:val="003C4263"/>
    <w:rsid w:val="003C616F"/>
    <w:rsid w:val="003D0336"/>
    <w:rsid w:val="003D1FE3"/>
    <w:rsid w:val="003D310C"/>
    <w:rsid w:val="003D414D"/>
    <w:rsid w:val="003D549D"/>
    <w:rsid w:val="003E7A80"/>
    <w:rsid w:val="003F77BC"/>
    <w:rsid w:val="00412C8C"/>
    <w:rsid w:val="00413CD0"/>
    <w:rsid w:val="00433ADB"/>
    <w:rsid w:val="00440944"/>
    <w:rsid w:val="0044214C"/>
    <w:rsid w:val="004426B7"/>
    <w:rsid w:val="00445834"/>
    <w:rsid w:val="00447E37"/>
    <w:rsid w:val="00451649"/>
    <w:rsid w:val="00454FA7"/>
    <w:rsid w:val="00455695"/>
    <w:rsid w:val="00456532"/>
    <w:rsid w:val="00463E1D"/>
    <w:rsid w:val="00471F16"/>
    <w:rsid w:val="00476BD1"/>
    <w:rsid w:val="004A603C"/>
    <w:rsid w:val="004A646B"/>
    <w:rsid w:val="004A695C"/>
    <w:rsid w:val="004B0487"/>
    <w:rsid w:val="004B0D23"/>
    <w:rsid w:val="004B24F2"/>
    <w:rsid w:val="004B3D68"/>
    <w:rsid w:val="004B70CF"/>
    <w:rsid w:val="004B76A6"/>
    <w:rsid w:val="004C13FA"/>
    <w:rsid w:val="004D7487"/>
    <w:rsid w:val="004E27FC"/>
    <w:rsid w:val="004E2B66"/>
    <w:rsid w:val="004E4BA1"/>
    <w:rsid w:val="004E7004"/>
    <w:rsid w:val="004F6BFD"/>
    <w:rsid w:val="00514EB2"/>
    <w:rsid w:val="00520C58"/>
    <w:rsid w:val="005214B5"/>
    <w:rsid w:val="005241F2"/>
    <w:rsid w:val="00524D16"/>
    <w:rsid w:val="00534AA8"/>
    <w:rsid w:val="00537B53"/>
    <w:rsid w:val="0055532D"/>
    <w:rsid w:val="005558DE"/>
    <w:rsid w:val="005668D9"/>
    <w:rsid w:val="0058464D"/>
    <w:rsid w:val="00584745"/>
    <w:rsid w:val="00592483"/>
    <w:rsid w:val="00596B03"/>
    <w:rsid w:val="005A56DC"/>
    <w:rsid w:val="005A68CC"/>
    <w:rsid w:val="005B1B45"/>
    <w:rsid w:val="005B42B2"/>
    <w:rsid w:val="005C4B18"/>
    <w:rsid w:val="005D7C1D"/>
    <w:rsid w:val="005F1D8F"/>
    <w:rsid w:val="005F41C0"/>
    <w:rsid w:val="005F41CF"/>
    <w:rsid w:val="0060011F"/>
    <w:rsid w:val="0061020D"/>
    <w:rsid w:val="006103A0"/>
    <w:rsid w:val="00613707"/>
    <w:rsid w:val="006222F4"/>
    <w:rsid w:val="006261ED"/>
    <w:rsid w:val="00631965"/>
    <w:rsid w:val="00655072"/>
    <w:rsid w:val="006573EA"/>
    <w:rsid w:val="00663D5E"/>
    <w:rsid w:val="00681E5A"/>
    <w:rsid w:val="00682625"/>
    <w:rsid w:val="00685AF5"/>
    <w:rsid w:val="006931C7"/>
    <w:rsid w:val="00695E60"/>
    <w:rsid w:val="00696079"/>
    <w:rsid w:val="006A7E63"/>
    <w:rsid w:val="006B4918"/>
    <w:rsid w:val="006B6674"/>
    <w:rsid w:val="006B66B1"/>
    <w:rsid w:val="006B7F0F"/>
    <w:rsid w:val="006C108D"/>
    <w:rsid w:val="006C10F7"/>
    <w:rsid w:val="006E72E8"/>
    <w:rsid w:val="00705AAA"/>
    <w:rsid w:val="00715829"/>
    <w:rsid w:val="00737F3C"/>
    <w:rsid w:val="00746D46"/>
    <w:rsid w:val="00755B50"/>
    <w:rsid w:val="00756837"/>
    <w:rsid w:val="0076272A"/>
    <w:rsid w:val="007652E0"/>
    <w:rsid w:val="0076690D"/>
    <w:rsid w:val="00784973"/>
    <w:rsid w:val="00787507"/>
    <w:rsid w:val="007A522B"/>
    <w:rsid w:val="007B55AF"/>
    <w:rsid w:val="007B740B"/>
    <w:rsid w:val="007C2390"/>
    <w:rsid w:val="007C50B8"/>
    <w:rsid w:val="007C5B6E"/>
    <w:rsid w:val="007F3B1C"/>
    <w:rsid w:val="00810356"/>
    <w:rsid w:val="008164D8"/>
    <w:rsid w:val="008247AA"/>
    <w:rsid w:val="00826B41"/>
    <w:rsid w:val="00846BDE"/>
    <w:rsid w:val="00861551"/>
    <w:rsid w:val="008639C5"/>
    <w:rsid w:val="00870F27"/>
    <w:rsid w:val="00873970"/>
    <w:rsid w:val="00876BEC"/>
    <w:rsid w:val="00891CFD"/>
    <w:rsid w:val="00897AD9"/>
    <w:rsid w:val="008B4A16"/>
    <w:rsid w:val="008C26DD"/>
    <w:rsid w:val="008D3FB9"/>
    <w:rsid w:val="00936E6B"/>
    <w:rsid w:val="0094017F"/>
    <w:rsid w:val="00945890"/>
    <w:rsid w:val="00964D32"/>
    <w:rsid w:val="00964E89"/>
    <w:rsid w:val="00977466"/>
    <w:rsid w:val="009810FB"/>
    <w:rsid w:val="0098190F"/>
    <w:rsid w:val="00987F7D"/>
    <w:rsid w:val="00994B6F"/>
    <w:rsid w:val="009A3ACF"/>
    <w:rsid w:val="009C6997"/>
    <w:rsid w:val="009D1886"/>
    <w:rsid w:val="009E1D07"/>
    <w:rsid w:val="00A039E8"/>
    <w:rsid w:val="00A05626"/>
    <w:rsid w:val="00A24CBE"/>
    <w:rsid w:val="00A2574B"/>
    <w:rsid w:val="00A371AA"/>
    <w:rsid w:val="00A372E6"/>
    <w:rsid w:val="00A4452B"/>
    <w:rsid w:val="00A45B15"/>
    <w:rsid w:val="00A567A6"/>
    <w:rsid w:val="00A57A16"/>
    <w:rsid w:val="00A7440D"/>
    <w:rsid w:val="00A74F81"/>
    <w:rsid w:val="00A83466"/>
    <w:rsid w:val="00A86535"/>
    <w:rsid w:val="00A87257"/>
    <w:rsid w:val="00A87724"/>
    <w:rsid w:val="00A92929"/>
    <w:rsid w:val="00AA5A69"/>
    <w:rsid w:val="00AB545F"/>
    <w:rsid w:val="00AC2268"/>
    <w:rsid w:val="00AC3C41"/>
    <w:rsid w:val="00AC4F9B"/>
    <w:rsid w:val="00AC7190"/>
    <w:rsid w:val="00AC7280"/>
    <w:rsid w:val="00AD6859"/>
    <w:rsid w:val="00AE3D4A"/>
    <w:rsid w:val="00AF3D36"/>
    <w:rsid w:val="00B0171B"/>
    <w:rsid w:val="00B02042"/>
    <w:rsid w:val="00B13E06"/>
    <w:rsid w:val="00B16986"/>
    <w:rsid w:val="00B16B15"/>
    <w:rsid w:val="00B261E0"/>
    <w:rsid w:val="00B27362"/>
    <w:rsid w:val="00B3139C"/>
    <w:rsid w:val="00B3510A"/>
    <w:rsid w:val="00B47FA9"/>
    <w:rsid w:val="00B60770"/>
    <w:rsid w:val="00B6102D"/>
    <w:rsid w:val="00B66B70"/>
    <w:rsid w:val="00B70829"/>
    <w:rsid w:val="00B713C1"/>
    <w:rsid w:val="00B72C8B"/>
    <w:rsid w:val="00B84B58"/>
    <w:rsid w:val="00B95255"/>
    <w:rsid w:val="00B9662F"/>
    <w:rsid w:val="00BA1A34"/>
    <w:rsid w:val="00BA2AE3"/>
    <w:rsid w:val="00BA6B85"/>
    <w:rsid w:val="00BB0418"/>
    <w:rsid w:val="00BB3931"/>
    <w:rsid w:val="00BC6C3E"/>
    <w:rsid w:val="00BC7555"/>
    <w:rsid w:val="00BD59C6"/>
    <w:rsid w:val="00BE2942"/>
    <w:rsid w:val="00C13F22"/>
    <w:rsid w:val="00C2391E"/>
    <w:rsid w:val="00C33548"/>
    <w:rsid w:val="00C35FE0"/>
    <w:rsid w:val="00C36B6C"/>
    <w:rsid w:val="00C52CD1"/>
    <w:rsid w:val="00C53C32"/>
    <w:rsid w:val="00C550A2"/>
    <w:rsid w:val="00C561ED"/>
    <w:rsid w:val="00C603AC"/>
    <w:rsid w:val="00C6044E"/>
    <w:rsid w:val="00C716B0"/>
    <w:rsid w:val="00C72EC6"/>
    <w:rsid w:val="00C8560C"/>
    <w:rsid w:val="00CC0A88"/>
    <w:rsid w:val="00CC4B94"/>
    <w:rsid w:val="00CC5E88"/>
    <w:rsid w:val="00CD0CE4"/>
    <w:rsid w:val="00CE32C5"/>
    <w:rsid w:val="00D049F5"/>
    <w:rsid w:val="00D14DF3"/>
    <w:rsid w:val="00D155BE"/>
    <w:rsid w:val="00D2627F"/>
    <w:rsid w:val="00D3285F"/>
    <w:rsid w:val="00D4230C"/>
    <w:rsid w:val="00D45345"/>
    <w:rsid w:val="00D46A33"/>
    <w:rsid w:val="00D46F97"/>
    <w:rsid w:val="00D640B0"/>
    <w:rsid w:val="00D816B7"/>
    <w:rsid w:val="00D842C1"/>
    <w:rsid w:val="00D85494"/>
    <w:rsid w:val="00D866CB"/>
    <w:rsid w:val="00D95676"/>
    <w:rsid w:val="00D97E0F"/>
    <w:rsid w:val="00DA0D37"/>
    <w:rsid w:val="00DB081F"/>
    <w:rsid w:val="00DC780B"/>
    <w:rsid w:val="00DF768B"/>
    <w:rsid w:val="00E15182"/>
    <w:rsid w:val="00E37B2D"/>
    <w:rsid w:val="00E37C43"/>
    <w:rsid w:val="00E41DD3"/>
    <w:rsid w:val="00E4211D"/>
    <w:rsid w:val="00E47DFE"/>
    <w:rsid w:val="00E55926"/>
    <w:rsid w:val="00E6542B"/>
    <w:rsid w:val="00E7354E"/>
    <w:rsid w:val="00E80BED"/>
    <w:rsid w:val="00E86300"/>
    <w:rsid w:val="00E909E2"/>
    <w:rsid w:val="00E91669"/>
    <w:rsid w:val="00E92EF8"/>
    <w:rsid w:val="00EA028C"/>
    <w:rsid w:val="00EA393E"/>
    <w:rsid w:val="00EA4200"/>
    <w:rsid w:val="00EA4BA5"/>
    <w:rsid w:val="00EA4F94"/>
    <w:rsid w:val="00EB773D"/>
    <w:rsid w:val="00ED4C0D"/>
    <w:rsid w:val="00EE2C1C"/>
    <w:rsid w:val="00EF3661"/>
    <w:rsid w:val="00F1434A"/>
    <w:rsid w:val="00F4450B"/>
    <w:rsid w:val="00F51094"/>
    <w:rsid w:val="00F51BD4"/>
    <w:rsid w:val="00F55E97"/>
    <w:rsid w:val="00F62E3A"/>
    <w:rsid w:val="00F73F26"/>
    <w:rsid w:val="00F80D4F"/>
    <w:rsid w:val="00F813A6"/>
    <w:rsid w:val="00F81E1E"/>
    <w:rsid w:val="00F84905"/>
    <w:rsid w:val="00F86DA7"/>
    <w:rsid w:val="00F86FD9"/>
    <w:rsid w:val="00FA667C"/>
    <w:rsid w:val="00FB0F73"/>
    <w:rsid w:val="00FB3E38"/>
    <w:rsid w:val="00FD09F4"/>
    <w:rsid w:val="00FE0650"/>
    <w:rsid w:val="00FE7770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5BD66"/>
  <w15:docId w15:val="{CFFDD4F7-5EA1-44BD-AFD1-B45DD430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B50"/>
    <w:pPr>
      <w:spacing w:after="160" w:line="259" w:lineRule="auto"/>
    </w:pPr>
    <w:rPr>
      <w:rFonts w:eastAsia="Times New Roman"/>
    </w:rPr>
  </w:style>
  <w:style w:type="paragraph" w:styleId="Titre1">
    <w:name w:val="heading 1"/>
    <w:basedOn w:val="Normal"/>
    <w:next w:val="Normal"/>
    <w:link w:val="Titre1Car"/>
    <w:qFormat/>
    <w:locked/>
    <w:rsid w:val="005A6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16B15"/>
    <w:pPr>
      <w:suppressAutoHyphens/>
      <w:spacing w:before="280" w:after="280" w:line="100" w:lineRule="atLeast"/>
    </w:pPr>
    <w:rPr>
      <w:rFonts w:ascii="Arial Unicode MS" w:eastAsia="Arial Unicode MS" w:hAnsi="Times New Roman" w:cs="Arial Unicode MS"/>
      <w:color w:val="00000A"/>
      <w:sz w:val="20"/>
      <w:szCs w:val="20"/>
      <w:lang w:eastAsia="ar-SA"/>
    </w:rPr>
  </w:style>
  <w:style w:type="paragraph" w:customStyle="1" w:styleId="Contenudetableau">
    <w:name w:val="Contenu de tableau"/>
    <w:basedOn w:val="Normal"/>
    <w:uiPriority w:val="99"/>
    <w:rsid w:val="00B16B15"/>
    <w:pPr>
      <w:suppressLineNumbers/>
      <w:suppressAutoHyphens/>
      <w:spacing w:after="0" w:line="240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character" w:styleId="Marquedecommentaire">
    <w:name w:val="annotation reference"/>
    <w:basedOn w:val="Policepardfaut"/>
    <w:uiPriority w:val="99"/>
    <w:semiHidden/>
    <w:rsid w:val="00B16B1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B16B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B16B15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16B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B16B15"/>
    <w:rPr>
      <w:rFonts w:eastAsia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B1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16B15"/>
    <w:rPr>
      <w:rFonts w:ascii="Segoe UI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rsid w:val="00B273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B27362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5">
    <w:name w:val="xl25"/>
    <w:basedOn w:val="Normal"/>
    <w:uiPriority w:val="99"/>
    <w:rsid w:val="00B27362"/>
    <w:pPr>
      <w:pBdr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Arial Unicode MS" w:eastAsia="Arial Unicode MS" w:hAnsi="Arial Unicode MS" w:cs="Arial Unicode MS"/>
      <w:szCs w:val="20"/>
      <w:lang w:eastAsia="zh-CN"/>
    </w:rPr>
  </w:style>
  <w:style w:type="paragraph" w:customStyle="1" w:styleId="FicheCEE">
    <w:name w:val="Fiche CEE"/>
    <w:basedOn w:val="Corpsdetexte"/>
    <w:next w:val="Normal"/>
    <w:uiPriority w:val="99"/>
    <w:rsid w:val="00455695"/>
    <w:pPr>
      <w:suppressAutoHyphens/>
      <w:spacing w:line="240" w:lineRule="auto"/>
      <w:jc w:val="both"/>
    </w:pPr>
    <w:rPr>
      <w:rFonts w:ascii="Times New Roman" w:eastAsia="Calibri" w:hAnsi="Times New Roman"/>
      <w:sz w:val="20"/>
      <w:szCs w:val="20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rsid w:val="0045569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455695"/>
    <w:rPr>
      <w:rFonts w:eastAsia="Times New Roman" w:cs="Times New Roman"/>
      <w:lang w:eastAsia="fr-FR"/>
    </w:rPr>
  </w:style>
  <w:style w:type="paragraph" w:styleId="Rvision">
    <w:name w:val="Revision"/>
    <w:hidden/>
    <w:uiPriority w:val="99"/>
    <w:semiHidden/>
    <w:rsid w:val="007C50B8"/>
    <w:rPr>
      <w:rFonts w:eastAsia="Times New Roman"/>
    </w:rPr>
  </w:style>
  <w:style w:type="paragraph" w:styleId="Paragraphedeliste">
    <w:name w:val="List Paragraph"/>
    <w:aliases w:val="texte de base,Normal bullet 2,Bullet 1,damien 3,Paragraphe de liste 2,Puce focus,Contact,Paragraphe de liste2,Listes,Liste à puce - SC,Paragraphe de liste11,Paragraphe de liste num,Paragraphe 2"/>
    <w:basedOn w:val="Normal"/>
    <w:link w:val="ParagraphedelisteCar"/>
    <w:uiPriority w:val="99"/>
    <w:qFormat/>
    <w:rsid w:val="00463E1D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A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5A68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Policepardfaut"/>
    <w:rsid w:val="009810FB"/>
  </w:style>
  <w:style w:type="paragraph" w:customStyle="1" w:styleId="SNSignatureGauche">
    <w:name w:val="SNSignature Gauche"/>
    <w:basedOn w:val="Normal"/>
    <w:qFormat/>
    <w:rsid w:val="00A039E8"/>
    <w:pPr>
      <w:suppressAutoHyphens/>
      <w:spacing w:after="0" w:line="240" w:lineRule="auto"/>
      <w:ind w:firstLine="720"/>
    </w:pPr>
    <w:rPr>
      <w:rFonts w:ascii="Times New Roman" w:hAnsi="Times New Roman"/>
      <w:kern w:val="2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EA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028C"/>
    <w:rPr>
      <w:rFonts w:eastAsia="Times New Roman"/>
    </w:rPr>
  </w:style>
  <w:style w:type="character" w:customStyle="1" w:styleId="ParagraphedelisteCar">
    <w:name w:val="Paragraphe de liste Car"/>
    <w:aliases w:val="texte de base Car,Normal bullet 2 Car,Bullet 1 Car,damien 3 Car,Paragraphe de liste 2 Car,Puce focus Car,Contact Car,Paragraphe de liste2 Car,Listes Car,Liste à puce - SC Car,Paragraphe de liste11 Car,Paragraphe de liste num Car"/>
    <w:link w:val="Paragraphedeliste"/>
    <w:uiPriority w:val="34"/>
    <w:qFormat/>
    <w:locked/>
    <w:rsid w:val="00715829"/>
    <w:rPr>
      <w:rFonts w:ascii="Times New Roman" w:eastAsia="Times New Roman" w:hAnsi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7D35-1478-4E78-B751-863CCB5F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Sylvain Bonnet</dc:creator>
  <cp:keywords/>
  <dc:description/>
  <cp:lastModifiedBy>Coralie Ruffenach</cp:lastModifiedBy>
  <cp:revision>7</cp:revision>
  <cp:lastPrinted>2024-11-13T09:21:00Z</cp:lastPrinted>
  <dcterms:created xsi:type="dcterms:W3CDTF">2024-12-04T17:07:00Z</dcterms:created>
  <dcterms:modified xsi:type="dcterms:W3CDTF">2024-12-04T17:32:00Z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0x0101005C5886E9C0F7AD4EBB7447B6524AAC45</vt:lpwstr>
  </property>
</Properties>
</file>