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975"/>
        <w:gridCol w:w="1488"/>
      </w:tblGrid>
      <w:tr w:rsidR="001A7F12">
        <w:tc>
          <w:tcPr>
            <w:tcW w:w="3993" w:type="dxa"/>
            <w:gridSpan w:val="3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bookmarkStart w:id="0" w:name="_GoBack"/>
            <w:r>
              <w:rPr>
                <w:b/>
                <w:bCs/>
                <w:color w:val="000000"/>
              </w:rPr>
              <w:t>RÉPUBLIQUE FRANÇAISE</w:t>
            </w:r>
          </w:p>
        </w:tc>
      </w:tr>
      <w:tr w:rsidR="001A7F12">
        <w:tc>
          <w:tcPr>
            <w:tcW w:w="1530" w:type="dxa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975" w:type="dxa"/>
            <w:hideMark/>
          </w:tcPr>
          <w:p w:rsidR="001A7F12" w:rsidRDefault="00DD3C25">
            <w:pPr>
              <w:pStyle w:val="Contenudetableau"/>
              <w:pBdr>
                <w:bottom w:val="single" w:sz="8" w:space="1" w:color="000001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488" w:type="dxa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r>
              <w:t> </w:t>
            </w:r>
          </w:p>
        </w:tc>
      </w:tr>
      <w:tr w:rsidR="001A7F12">
        <w:tc>
          <w:tcPr>
            <w:tcW w:w="3993" w:type="dxa"/>
            <w:gridSpan w:val="3"/>
            <w:hideMark/>
          </w:tcPr>
          <w:p w:rsidR="001A7F12" w:rsidRDefault="00DD3C25">
            <w:pPr>
              <w:pStyle w:val="Contenudetableau"/>
              <w:snapToGrid w:val="0"/>
              <w:spacing w:before="120"/>
              <w:jc w:val="center"/>
            </w:pPr>
            <w:r>
              <w:rPr>
                <w:color w:val="auto"/>
              </w:rPr>
              <w:t>Ministère de l’économie, des finances et de la souveraineté industrielle, énergétique et numérique</w:t>
            </w:r>
          </w:p>
        </w:tc>
      </w:tr>
      <w:tr w:rsidR="001A7F12">
        <w:tc>
          <w:tcPr>
            <w:tcW w:w="1530" w:type="dxa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975" w:type="dxa"/>
            <w:hideMark/>
          </w:tcPr>
          <w:p w:rsidR="001A7F12" w:rsidRDefault="00DD3C25">
            <w:pPr>
              <w:pStyle w:val="Contenudetableau"/>
              <w:pBdr>
                <w:bottom w:val="single" w:sz="8" w:space="1" w:color="000001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488" w:type="dxa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r>
              <w:t> </w:t>
            </w:r>
          </w:p>
        </w:tc>
      </w:tr>
      <w:tr w:rsidR="001A7F12">
        <w:tc>
          <w:tcPr>
            <w:tcW w:w="1530" w:type="dxa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975" w:type="dxa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1488" w:type="dxa"/>
            <w:hideMark/>
          </w:tcPr>
          <w:p w:rsidR="001A7F12" w:rsidRDefault="00DD3C25">
            <w:pPr>
              <w:pStyle w:val="Contenudetableau"/>
              <w:snapToGrid w:val="0"/>
              <w:jc w:val="center"/>
            </w:pPr>
            <w:r>
              <w:t> </w:t>
            </w:r>
          </w:p>
        </w:tc>
      </w:tr>
    </w:tbl>
    <w:p w:rsidR="001A7F12" w:rsidRDefault="001A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12" w:rsidRDefault="001A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12" w:rsidRDefault="001A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Arrêté du XX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portant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création du programme PROFEEL 3 dans le cadre du dispositif des certificats d’économies d’énergie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NOR : XXX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F12" w:rsidRDefault="00DD3C25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Publics concernés : </w:t>
      </w:r>
      <w:r>
        <w:rPr>
          <w:rFonts w:ascii="Times New Roman" w:hAnsi="Times New Roman"/>
          <w:bCs/>
          <w:i/>
          <w:sz w:val="24"/>
          <w:szCs w:val="24"/>
        </w:rPr>
        <w:t xml:space="preserve">porteurs de programmes, bénéficiaires et demandeurs éligibles dans le cadre du dispositif des certificats d’économies </w:t>
      </w:r>
      <w:r>
        <w:rPr>
          <w:rFonts w:ascii="Times New Roman" w:hAnsi="Times New Roman"/>
          <w:bCs/>
          <w:i/>
          <w:sz w:val="24"/>
          <w:szCs w:val="24"/>
        </w:rPr>
        <w:t>d’énergie.</w:t>
      </w:r>
    </w:p>
    <w:p w:rsidR="001A7F12" w:rsidRDefault="00DD3C25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Objet : </w:t>
      </w:r>
      <w:r>
        <w:rPr>
          <w:rFonts w:ascii="Times New Roman" w:hAnsi="Times New Roman"/>
          <w:bCs/>
          <w:i/>
          <w:sz w:val="24"/>
          <w:szCs w:val="24"/>
        </w:rPr>
        <w:t>création d’un programme d’accompagnement en faveur des économies d’énergie dans le cadre du dispositif des certificats d’économies d’énergie.</w:t>
      </w:r>
    </w:p>
    <w:p w:rsidR="001A7F12" w:rsidRDefault="00DD3C25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Entrée en vigueur : </w:t>
      </w:r>
      <w:r>
        <w:rPr>
          <w:rFonts w:ascii="Times New Roman" w:hAnsi="Times New Roman"/>
          <w:bCs/>
          <w:i/>
          <w:sz w:val="24"/>
          <w:szCs w:val="24"/>
        </w:rPr>
        <w:t>le présent arrêté entre en vigueur le lendemain de sa publication.</w:t>
      </w:r>
    </w:p>
    <w:p w:rsidR="001A7F12" w:rsidRDefault="00DD3C25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Application : </w:t>
      </w:r>
      <w:r>
        <w:rPr>
          <w:rFonts w:ascii="Times New Roman" w:hAnsi="Times New Roman"/>
          <w:bCs/>
          <w:i/>
          <w:sz w:val="24"/>
          <w:szCs w:val="24"/>
        </w:rPr>
        <w:t>le présent arrêté est pris en application de l’article L. 221-7 du code de l’énergie.</w:t>
      </w:r>
    </w:p>
    <w:p w:rsidR="001A7F12" w:rsidRDefault="00DD3C2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1A7F12" w:rsidRDefault="001A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F12" w:rsidRDefault="00DD3C2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ministre de l’économie, des finances et de la souveraineté industrielle, énergétique et numérique, 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le code de l’énergie, notamment ses article</w:t>
      </w:r>
      <w:r>
        <w:rPr>
          <w:rFonts w:ascii="Times New Roman" w:hAnsi="Times New Roman"/>
          <w:sz w:val="24"/>
          <w:szCs w:val="24"/>
        </w:rPr>
        <w:t>s L. 221-7 et R. 221-14 ;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l’arrêté du 4 septembre 2014 modifié fixant la liste des éléments d’une demande de certificats d’économies d’énergie et les documents à archiver par le demandeur ;</w:t>
      </w:r>
    </w:p>
    <w:p w:rsidR="001A7F12" w:rsidRDefault="001A7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l’avis du Conseil supérieur de l’énergie en date du XXX,</w:t>
      </w:r>
    </w:p>
    <w:p w:rsidR="001A7F12" w:rsidRDefault="001A7F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7F12" w:rsidRDefault="00DD3C25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ARRÊTE</w:t>
      </w:r>
    </w:p>
    <w:p w:rsidR="001A7F12" w:rsidRDefault="00DD3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F12" w:rsidRDefault="00DD3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Article 1</w:t>
      </w:r>
      <w:r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er</w:t>
      </w:r>
    </w:p>
    <w:p w:rsidR="001A7F12" w:rsidRDefault="001A7F1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F12" w:rsidRDefault="00DD3C25">
      <w:pPr>
        <w:pStyle w:val="Corpsdetexte"/>
        <w:spacing w:before="120" w:after="120"/>
      </w:pPr>
      <w:r>
        <w:t xml:space="preserve">Le programme d’information PRO-INNO-87 « PROFEEL 3 », décrit en annexe est éligible au dispositif des certificats d'économies d'énergie dans les conditions définies par le présent arrêté pour les contributions versées à compter de </w:t>
      </w:r>
      <w:r>
        <w:t>l'entrée en vigueur du présent arrêté et jusqu'au 30 juin 2030.</w:t>
      </w:r>
    </w:p>
    <w:p w:rsidR="001A7F12" w:rsidRDefault="00DD3C25">
      <w:pPr>
        <w:suppressAutoHyphens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Article 2</w:t>
      </w:r>
    </w:p>
    <w:p w:rsidR="001A7F12" w:rsidRDefault="00DD3C25">
      <w:pPr>
        <w:pStyle w:val="SNSignatureGauche"/>
        <w:ind w:firstLine="0"/>
        <w:jc w:val="both"/>
        <w:rPr>
          <w:bCs/>
        </w:rPr>
      </w:pPr>
      <w:r>
        <w:t xml:space="preserve">La directrice </w:t>
      </w:r>
      <w:r>
        <w:rPr>
          <w:bCs/>
        </w:rPr>
        <w:t>du climat, de l’efficacité énergétique et de l’air</w:t>
      </w:r>
      <w:r>
        <w:t xml:space="preserve"> est chargée de l’exécution du présent arrêté, qui sera publié au </w:t>
      </w:r>
      <w:r>
        <w:rPr>
          <w:i/>
        </w:rPr>
        <w:t>Journal officiel</w:t>
      </w:r>
      <w:r>
        <w:t xml:space="preserve"> de la République française. </w:t>
      </w:r>
    </w:p>
    <w:p w:rsidR="001A7F12" w:rsidRDefault="001A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12" w:rsidRDefault="001A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12" w:rsidRDefault="00DD3C25">
      <w:pPr>
        <w:pStyle w:val="SNDatearrt"/>
        <w:ind w:firstLine="0"/>
      </w:pPr>
      <w:r>
        <w:t xml:space="preserve">Fait le </w:t>
      </w:r>
      <w:r>
        <w:tab/>
        <w:t>XX</w:t>
      </w:r>
      <w:r>
        <w:tab/>
      </w:r>
      <w:r>
        <w:tab/>
      </w:r>
      <w:r>
        <w:tab/>
      </w:r>
    </w:p>
    <w:p w:rsidR="001A7F12" w:rsidRDefault="00DD3C25">
      <w:pPr>
        <w:pStyle w:val="SNDatearrt"/>
        <w:spacing w:before="0" w:after="0"/>
        <w:ind w:firstLine="0"/>
      </w:pPr>
      <w:r>
        <w:t>Pour la ministre et par délégation :</w:t>
      </w:r>
    </w:p>
    <w:p w:rsidR="001A7F12" w:rsidRDefault="00DD3C25">
      <w:pPr>
        <w:pStyle w:val="SNSignatureGauche"/>
        <w:ind w:firstLine="0"/>
        <w:rPr>
          <w:bCs/>
        </w:rPr>
      </w:pPr>
      <w:r>
        <w:rPr>
          <w:bCs/>
        </w:rPr>
        <w:t>La directrice du climat, de l’efficacité énergétique et de l’air,</w:t>
      </w:r>
    </w:p>
    <w:p w:rsidR="001A7F12" w:rsidRDefault="001A7F12">
      <w:pPr>
        <w:pStyle w:val="SNSignatureGauche"/>
        <w:rPr>
          <w:bCs/>
        </w:rPr>
      </w:pPr>
    </w:p>
    <w:p w:rsidR="001A7F12" w:rsidRDefault="001A7F12">
      <w:pPr>
        <w:pStyle w:val="SNSignatureGauche"/>
        <w:ind w:firstLine="0"/>
        <w:rPr>
          <w:bCs/>
        </w:rPr>
      </w:pPr>
    </w:p>
    <w:p w:rsidR="001A7F12" w:rsidRDefault="001A7F12">
      <w:pPr>
        <w:pStyle w:val="SNSignatureGauche"/>
        <w:rPr>
          <w:bCs/>
        </w:rPr>
      </w:pPr>
    </w:p>
    <w:p w:rsidR="001A7F12" w:rsidRDefault="001A7F12">
      <w:pPr>
        <w:pStyle w:val="SNSignatureGauche"/>
        <w:rPr>
          <w:bCs/>
        </w:rPr>
      </w:pPr>
    </w:p>
    <w:p w:rsidR="001A7F12" w:rsidRDefault="00DD3C25">
      <w:pPr>
        <w:pStyle w:val="SNSignatureGauche"/>
        <w:ind w:firstLine="0"/>
        <w:rPr>
          <w:bCs/>
        </w:rPr>
      </w:pPr>
      <w:r>
        <w:rPr>
          <w:bCs/>
        </w:rPr>
        <w:t>D. SIMIU</w:t>
      </w:r>
    </w:p>
    <w:p w:rsidR="001A7F12" w:rsidRDefault="001A7F12">
      <w:pPr>
        <w:pStyle w:val="SNSignatureGauche"/>
        <w:ind w:firstLine="0"/>
        <w:rPr>
          <w:bCs/>
        </w:rPr>
      </w:pPr>
    </w:p>
    <w:p w:rsidR="001A7F12" w:rsidRDefault="001A7F12">
      <w:pPr>
        <w:pStyle w:val="SNSignatureGauche"/>
        <w:ind w:firstLine="0"/>
        <w:rPr>
          <w:bCs/>
        </w:rPr>
      </w:pPr>
    </w:p>
    <w:p w:rsidR="001A7F12" w:rsidRDefault="001A7F12">
      <w:pPr>
        <w:pStyle w:val="SNSignatureGauche"/>
        <w:ind w:firstLine="0"/>
        <w:rPr>
          <w:bCs/>
        </w:rPr>
      </w:pPr>
    </w:p>
    <w:p w:rsidR="001A7F12" w:rsidRDefault="00DD3C25">
      <w:pPr>
        <w:spacing w:line="259" w:lineRule="auto"/>
        <w:rPr>
          <w:bCs/>
          <w:lang w:val="en-GB"/>
        </w:rPr>
      </w:pPr>
      <w:r>
        <w:rPr>
          <w:bCs/>
          <w:lang w:val="en-GB"/>
        </w:rPr>
        <w:br w:type="page"/>
      </w:r>
    </w:p>
    <w:p w:rsidR="001A7F12" w:rsidRDefault="00DD3C25">
      <w:pPr>
        <w:jc w:val="center"/>
        <w:rPr>
          <w:rFonts w:ascii="Times New Roman" w:hAnsi="Times New Roman"/>
          <w:color w:val="00000A"/>
          <w:sz w:val="24"/>
          <w:szCs w:val="24"/>
          <w:lang w:val="en-GB"/>
        </w:rPr>
      </w:pPr>
      <w:bookmarkStart w:id="1" w:name="_Hlk193968117"/>
      <w:bookmarkStart w:id="2" w:name="_Hlk193968149"/>
      <w:r>
        <w:rPr>
          <w:rFonts w:ascii="Times New Roman" w:hAnsi="Times New Roman"/>
          <w:color w:val="00000A"/>
          <w:sz w:val="24"/>
          <w:szCs w:val="24"/>
          <w:lang w:val="en-GB"/>
        </w:rPr>
        <w:lastRenderedPageBreak/>
        <w:t>ANNEXE</w:t>
      </w:r>
    </w:p>
    <w:p w:rsidR="001A7F12" w:rsidRDefault="001A7F12">
      <w:pPr>
        <w:rPr>
          <w:rFonts w:ascii="Times New Roman" w:hAnsi="Times New Roman"/>
          <w:color w:val="00000A"/>
          <w:sz w:val="24"/>
          <w:szCs w:val="24"/>
          <w:lang w:val="en-GB"/>
        </w:rPr>
      </w:pPr>
    </w:p>
    <w:p w:rsidR="001A7F12" w:rsidRDefault="00DD3C25">
      <w:pPr>
        <w:jc w:val="center"/>
        <w:rPr>
          <w:rFonts w:ascii="Times New Roman" w:hAnsi="Times New Roman"/>
          <w:color w:val="00000A"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Programme n° </w:t>
      </w:r>
      <w:r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  <w:t>PRO-INNO-87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9360"/>
      </w:tblGrid>
      <w:tr w:rsidR="001A7F12">
        <w:trPr>
          <w:trHeight w:val="576"/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  <w:hideMark/>
          </w:tcPr>
          <w:p w:rsidR="001A7F12" w:rsidRDefault="00DD3C25">
            <w:pPr>
              <w:spacing w:before="160" w:line="257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PROFEEL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</w:tr>
    </w:tbl>
    <w:p w:rsidR="001A7F12" w:rsidRDefault="001A7F12">
      <w:pPr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A7F12" w:rsidRDefault="00DD3C25">
      <w:pPr>
        <w:jc w:val="both"/>
        <w:outlineLvl w:val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Secteur </w:t>
      </w:r>
      <w:bookmarkStart w:id="3" w:name="_Hlk193295323"/>
      <w:r>
        <w:rPr>
          <w:rFonts w:ascii="Times New Roman" w:hAnsi="Times New Roman"/>
          <w:b/>
          <w:color w:val="00000A"/>
          <w:sz w:val="24"/>
          <w:szCs w:val="24"/>
          <w:u w:val="single"/>
        </w:rPr>
        <w:t>d’application</w:t>
      </w:r>
    </w:p>
    <w:bookmarkEnd w:id="1"/>
    <w:bookmarkEnd w:id="3"/>
    <w:p w:rsidR="001A7F12" w:rsidRDefault="00DD3C25">
      <w:pPr>
        <w:jc w:val="both"/>
        <w:outlineLvl w:val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Innovation favorisant les économies d'énergie.</w:t>
      </w:r>
    </w:p>
    <w:p w:rsidR="001A7F12" w:rsidRDefault="00DD3C25">
      <w:pPr>
        <w:jc w:val="both"/>
        <w:outlineLvl w:val="0"/>
        <w:rPr>
          <w:rFonts w:ascii="Times New Roman" w:hAnsi="Times New Roman"/>
          <w:b/>
          <w:color w:val="00000A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A"/>
          <w:sz w:val="24"/>
          <w:szCs w:val="24"/>
          <w:u w:val="single"/>
        </w:rPr>
        <w:t>Dénomination</w:t>
      </w:r>
      <w:bookmarkEnd w:id="2"/>
    </w:p>
    <w:p w:rsidR="001A7F12" w:rsidRDefault="00DD3C25">
      <w:pPr>
        <w:pStyle w:val="NormalWeb"/>
        <w:jc w:val="both"/>
      </w:pPr>
      <w:r>
        <w:t xml:space="preserve">Le programme </w:t>
      </w:r>
      <w:proofErr w:type="spellStart"/>
      <w:r>
        <w:t>co-porté</w:t>
      </w:r>
      <w:proofErr w:type="spellEnd"/>
      <w:r>
        <w:t xml:space="preserve"> par le Centre scientifique et technique du bâtiment (CSTB) et par l'Agence qualité construction (AQC), prend la suite des actions réalisées dans le cadre du programme PRO-INNO-60 « PROFEEL 2 ». Il s'articule autour des ax</w:t>
      </w:r>
      <w:r>
        <w:t>es suivants :</w:t>
      </w:r>
    </w:p>
    <w:p w:rsidR="001A7F12" w:rsidRDefault="00DD3C25">
      <w:pPr>
        <w:pStyle w:val="NormalWeb"/>
        <w:spacing w:before="0" w:beforeAutospacing="0" w:after="0" w:afterAutospacing="0"/>
        <w:jc w:val="both"/>
      </w:pPr>
      <w:r>
        <w:t>- faciliter et sécuriser les pratiques pr</w:t>
      </w:r>
      <w:r>
        <w:t xml:space="preserve">ofessionnelles et l'émergence de solutions crédibles et </w:t>
      </w:r>
      <w:proofErr w:type="spellStart"/>
      <w:r>
        <w:t>réplicables</w:t>
      </w:r>
      <w:proofErr w:type="spellEnd"/>
      <w:r>
        <w:t xml:space="preserve"> au travers de boites à outils ;</w:t>
      </w:r>
    </w:p>
    <w:p w:rsidR="001A7F12" w:rsidRDefault="00DD3C25">
      <w:pPr>
        <w:pStyle w:val="NormalWeb"/>
        <w:spacing w:before="0" w:beforeAutospacing="0" w:after="0" w:afterAutospacing="0"/>
        <w:jc w:val="both"/>
      </w:pPr>
      <w:r>
        <w:t>- garantir l'atteinte des performances énergétiques recherchées</w:t>
      </w:r>
      <w:r>
        <w:t> ;</w:t>
      </w:r>
    </w:p>
    <w:p w:rsidR="001A7F12" w:rsidRDefault="00DD3C25">
      <w:pPr>
        <w:pStyle w:val="NormalWeb"/>
        <w:spacing w:before="0" w:beforeAutospacing="0" w:after="0" w:afterAutospacing="0"/>
        <w:jc w:val="both"/>
      </w:pPr>
      <w:r>
        <w:t>- soutenir les dynamiques ultramarines pour des bâtiments économes et résilients</w:t>
      </w:r>
      <w:r>
        <w:t>.</w:t>
      </w:r>
    </w:p>
    <w:p w:rsidR="001A7F12" w:rsidRDefault="001A7F12">
      <w:pPr>
        <w:pStyle w:val="NormalWeb"/>
        <w:spacing w:before="0" w:beforeAutospacing="0" w:after="0" w:afterAutospacing="0"/>
        <w:jc w:val="both"/>
      </w:pPr>
    </w:p>
    <w:p w:rsidR="001A7F12" w:rsidRDefault="001A7F12">
      <w:pPr>
        <w:pStyle w:val="Paragraphedeliste"/>
        <w:ind w:left="0"/>
        <w:jc w:val="both"/>
      </w:pPr>
    </w:p>
    <w:p w:rsidR="001A7F12" w:rsidRDefault="00DD3C25">
      <w:pPr>
        <w:jc w:val="both"/>
        <w:outlineLvl w:val="0"/>
        <w:rPr>
          <w:rFonts w:ascii="Times New Roman" w:hAnsi="Times New Roman"/>
          <w:b/>
          <w:bCs/>
          <w:color w:val="00000A"/>
          <w:sz w:val="24"/>
          <w:szCs w:val="24"/>
        </w:rPr>
      </w:pPr>
      <w:bookmarkStart w:id="4" w:name="_Hlk193296189"/>
      <w:r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 xml:space="preserve">3. Conditions </w:t>
      </w:r>
      <w:bookmarkEnd w:id="4"/>
      <w:r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>pour la délivrance de certificats</w:t>
      </w:r>
    </w:p>
    <w:p w:rsidR="001A7F12" w:rsidRDefault="00DD3C25">
      <w:pPr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La contribution au programme ouvre droit à la délivrance de certificats d'économies d'énergie pour les versements effectués à compter de l'entrée en vigueur du présent arrêté et jusqu'au 30 juin 2030, dans le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s conditions prévues par l'arrêté du 4 septembre 2014 fixant la liste des éléments d'une demande de certificats d'économies d'énergie et les documents à archiver par le demandeur, et conformément à la convention signée entre l'État, les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zh-CN"/>
        </w:rPr>
        <w:t>co-porteurs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zh-CN"/>
        </w:rPr>
        <w:t>, et les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autres parties concernées. </w:t>
      </w:r>
    </w:p>
    <w:p w:rsidR="001A7F12" w:rsidRDefault="00DD3C25">
      <w:pPr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Ces versements sont effectués par les personnes mentionnées au 1° de l’article L. 221-7 du code de l’énergie ou par toute personne qui s’est vu déléguer une obligation d’économies d’énergie dans les conditions de l’article R. 2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21-6 du même code, sélectionnées dans des conditions définies par l’appel à financeurs rédigé par le porteur du programme.   </w:t>
      </w:r>
      <w:r>
        <w:rPr>
          <w:rFonts w:ascii="Arial" w:hAnsi="Arial" w:cs="Arial"/>
          <w:b/>
          <w:bCs/>
          <w:color w:val="4A5E81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</w:p>
    <w:p w:rsidR="001A7F12" w:rsidRDefault="00DD3C25">
      <w:pPr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Les versements effectués dans le cadre de ce programme n’excèdent pas 20,8 millions d’euros.</w:t>
      </w:r>
    </w:p>
    <w:p w:rsidR="001A7F12" w:rsidRDefault="001A7F12">
      <w:pPr>
        <w:pStyle w:val="Paragraphedeliste"/>
        <w:ind w:left="0"/>
        <w:jc w:val="both"/>
      </w:pPr>
    </w:p>
    <w:p w:rsidR="001A7F12" w:rsidRDefault="001A7F12">
      <w:pPr>
        <w:pStyle w:val="Corpsdetexte"/>
        <w:rPr>
          <w:color w:val="00000A"/>
        </w:rPr>
      </w:pPr>
    </w:p>
    <w:p w:rsidR="001A7F12" w:rsidRDefault="001A7F12">
      <w:pPr>
        <w:widowControl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1A7F12" w:rsidRDefault="001A7F12">
      <w:pPr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bookmarkEnd w:id="0"/>
    <w:p w:rsidR="001A7F12" w:rsidRDefault="001A7F12">
      <w:pPr>
        <w:widowControl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sectPr w:rsidR="001A7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12" w:rsidRDefault="00DD3C25">
      <w:pPr>
        <w:spacing w:after="0" w:line="240" w:lineRule="auto"/>
      </w:pPr>
      <w:r>
        <w:separator/>
      </w:r>
    </w:p>
  </w:endnote>
  <w:endnote w:type="continuationSeparator" w:id="0">
    <w:p w:rsidR="001A7F12" w:rsidRDefault="00DD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12" w:rsidRDefault="001A7F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12" w:rsidRDefault="001A7F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12" w:rsidRDefault="001A7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12" w:rsidRDefault="00DD3C25">
      <w:pPr>
        <w:spacing w:after="0" w:line="240" w:lineRule="auto"/>
      </w:pPr>
      <w:r>
        <w:separator/>
      </w:r>
    </w:p>
  </w:footnote>
  <w:footnote w:type="continuationSeparator" w:id="0">
    <w:p w:rsidR="001A7F12" w:rsidRDefault="00DD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12" w:rsidRDefault="00DD3C2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43610" o:spid="_x0000_s2051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12" w:rsidRDefault="00DD3C2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43611" o:spid="_x0000_s2052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12" w:rsidRDefault="00DD3C2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43609" o:spid="_x0000_s2050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3C44"/>
    <w:multiLevelType w:val="hybridMultilevel"/>
    <w:tmpl w:val="670E2582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E42729"/>
    <w:multiLevelType w:val="multilevel"/>
    <w:tmpl w:val="023E5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9F5FEA"/>
    <w:multiLevelType w:val="hybridMultilevel"/>
    <w:tmpl w:val="50821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A4787"/>
    <w:multiLevelType w:val="hybridMultilevel"/>
    <w:tmpl w:val="A2D42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72E5B"/>
    <w:multiLevelType w:val="hybridMultilevel"/>
    <w:tmpl w:val="4CF84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80CD5"/>
    <w:multiLevelType w:val="hybridMultilevel"/>
    <w:tmpl w:val="F6EA0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trackRevision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12"/>
    <w:rsid w:val="001A7F12"/>
    <w:rsid w:val="00D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321356F4-25AA-454C-80CA-266DFB52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uiPriority w:val="99"/>
    <w:pPr>
      <w:suppressLineNumbers/>
      <w:suppressAutoHyphens/>
      <w:spacing w:after="0" w:line="240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SNSignatureGauche">
    <w:name w:val="SNSignature Gauche"/>
    <w:basedOn w:val="Normal"/>
    <w:qFormat/>
    <w:pPr>
      <w:suppressAutoHyphens/>
      <w:spacing w:after="0" w:line="240" w:lineRule="auto"/>
      <w:ind w:firstLine="720"/>
    </w:pPr>
    <w:rPr>
      <w:rFonts w:ascii="Times New Roman" w:hAnsi="Times New Roman"/>
      <w:kern w:val="2"/>
      <w:sz w:val="24"/>
      <w:szCs w:val="24"/>
      <w:lang w:eastAsia="zh-CN"/>
    </w:rPr>
  </w:style>
  <w:style w:type="paragraph" w:styleId="Paragraphedeliste">
    <w:name w:val="List Paragraph"/>
    <w:aliases w:val="texte de base,Normal bullet 2,Bullet 1,damien 3,Paragraphe de liste 2,Puce focus,Contact,Paragraphe de liste2,Listes,Liste à puce - SC,Paragraphe de liste11,Paragraphe de liste num,Paragraphe 2"/>
    <w:basedOn w:val="Normal"/>
    <w:link w:val="ParagraphedelisteCar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A"/>
      <w:sz w:val="24"/>
      <w:szCs w:val="24"/>
      <w:lang w:eastAsia="zh-CN"/>
    </w:rPr>
  </w:style>
  <w:style w:type="character" w:customStyle="1" w:styleId="ParagraphedelisteCar">
    <w:name w:val="Paragraphe de liste Car"/>
    <w:aliases w:val="texte de base Car,Normal bullet 2 Car,Bullet 1 Car,damien 3 Car,Paragraphe de liste 2 Car,Puce focus Car,Contact Car,Paragraphe de liste2 Car,Listes Car,Liste à puce - SC Car,Paragraphe de liste11 Car,Paragraphe de liste num Car"/>
    <w:link w:val="Paragraphedeliste"/>
    <w:uiPriority w:val="34"/>
    <w:qFormat/>
    <w:locked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SNDatearrt">
    <w:name w:val="SNDate arrêté"/>
    <w:basedOn w:val="Normal"/>
    <w:next w:val="Normal"/>
    <w:qFormat/>
    <w:pPr>
      <w:suppressAutoHyphens/>
      <w:spacing w:before="480" w:after="480" w:line="240" w:lineRule="auto"/>
      <w:ind w:firstLine="720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nhideWhenUsed/>
    <w:pPr>
      <w:suppressAutoHyphens/>
      <w:spacing w:after="0" w:line="240" w:lineRule="auto"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Times New Roman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3C94-9C77-4FFE-95F6-5CC6279B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DGEC</dc:creator>
  <cp:keywords/>
  <dc:description/>
  <cp:lastModifiedBy>DIETRICH Marie</cp:lastModifiedBy>
  <cp:revision>2</cp:revision>
  <cp:lastPrinted>2025-08-04T13:30:00Z</cp:lastPrinted>
  <dcterms:created xsi:type="dcterms:W3CDTF">2026-04-17T13:44:00Z</dcterms:created>
  <dcterms:modified xsi:type="dcterms:W3CDTF">2026-04-17T13:44:00Z</dcterms:modified>
</cp:coreProperties>
</file>