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975"/>
        <w:gridCol w:w="1488"/>
      </w:tblGrid>
      <w:tr w:rsidR="00AC4906" w14:paraId="60425DCC" w14:textId="77777777" w:rsidTr="00AC4906">
        <w:tc>
          <w:tcPr>
            <w:tcW w:w="3993" w:type="dxa"/>
            <w:gridSpan w:val="3"/>
            <w:hideMark/>
          </w:tcPr>
          <w:p w14:paraId="0C136CD2" w14:textId="5AC0E8AB" w:rsidR="00AC4906" w:rsidRDefault="00AC4906">
            <w:pPr>
              <w:pStyle w:val="Contenudetableau"/>
              <w:snapToGrid w:val="0"/>
              <w:jc w:val="center"/>
            </w:pPr>
            <w:r>
              <w:rPr>
                <w:b/>
                <w:bCs/>
                <w:color w:val="000000"/>
              </w:rPr>
              <w:t>RÉPUBLIQUE FRANÇAISE</w:t>
            </w:r>
          </w:p>
        </w:tc>
      </w:tr>
      <w:tr w:rsidR="00AC4906" w14:paraId="373AFDA3" w14:textId="77777777" w:rsidTr="00AC4906">
        <w:tc>
          <w:tcPr>
            <w:tcW w:w="1530" w:type="dxa"/>
            <w:hideMark/>
          </w:tcPr>
          <w:p w14:paraId="6D154D13" w14:textId="77777777" w:rsidR="00AC4906" w:rsidRDefault="00AC4906">
            <w:pPr>
              <w:pStyle w:val="Contenudetableau"/>
              <w:snapToGrid w:val="0"/>
              <w:jc w:val="center"/>
            </w:pPr>
            <w:r>
              <w:t> </w:t>
            </w:r>
          </w:p>
        </w:tc>
        <w:tc>
          <w:tcPr>
            <w:tcW w:w="975" w:type="dxa"/>
            <w:hideMark/>
          </w:tcPr>
          <w:p w14:paraId="653AB64E" w14:textId="77777777" w:rsidR="00AC4906" w:rsidRDefault="00AC4906">
            <w:pPr>
              <w:pStyle w:val="Contenudetableau"/>
              <w:pBdr>
                <w:bottom w:val="single" w:sz="8" w:space="1" w:color="000001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1488" w:type="dxa"/>
            <w:hideMark/>
          </w:tcPr>
          <w:p w14:paraId="1870B777" w14:textId="77777777" w:rsidR="00AC4906" w:rsidRDefault="00AC4906">
            <w:pPr>
              <w:pStyle w:val="Contenudetableau"/>
              <w:snapToGrid w:val="0"/>
              <w:jc w:val="center"/>
            </w:pPr>
            <w:r>
              <w:t> </w:t>
            </w:r>
          </w:p>
        </w:tc>
      </w:tr>
      <w:tr w:rsidR="00AC4906" w14:paraId="2DAA95D8" w14:textId="77777777" w:rsidTr="00AC4906">
        <w:tc>
          <w:tcPr>
            <w:tcW w:w="3993" w:type="dxa"/>
            <w:gridSpan w:val="3"/>
            <w:hideMark/>
          </w:tcPr>
          <w:p w14:paraId="6D2132E6" w14:textId="17B15AE9" w:rsidR="00AC4906" w:rsidRDefault="00AC4906">
            <w:pPr>
              <w:pStyle w:val="Contenudetableau"/>
              <w:snapToGrid w:val="0"/>
              <w:spacing w:before="120"/>
              <w:jc w:val="center"/>
            </w:pPr>
            <w:r>
              <w:rPr>
                <w:color w:val="auto"/>
              </w:rPr>
              <w:t>Ministère de l’économie, des finances et de la souveraineté industrielle</w:t>
            </w:r>
            <w:r w:rsidR="00CB4D99">
              <w:rPr>
                <w:color w:val="auto"/>
              </w:rPr>
              <w:t xml:space="preserve">, énergétique </w:t>
            </w:r>
            <w:r>
              <w:rPr>
                <w:color w:val="auto"/>
              </w:rPr>
              <w:t>et numérique</w:t>
            </w:r>
          </w:p>
        </w:tc>
      </w:tr>
      <w:tr w:rsidR="00AC4906" w14:paraId="3B11A869" w14:textId="77777777" w:rsidTr="00AC4906">
        <w:tc>
          <w:tcPr>
            <w:tcW w:w="1530" w:type="dxa"/>
            <w:hideMark/>
          </w:tcPr>
          <w:p w14:paraId="044355B7" w14:textId="77777777" w:rsidR="00AC4906" w:rsidRDefault="00AC4906">
            <w:pPr>
              <w:pStyle w:val="Contenudetableau"/>
              <w:snapToGrid w:val="0"/>
              <w:jc w:val="center"/>
            </w:pPr>
            <w:r>
              <w:t> </w:t>
            </w:r>
          </w:p>
        </w:tc>
        <w:tc>
          <w:tcPr>
            <w:tcW w:w="975" w:type="dxa"/>
            <w:hideMark/>
          </w:tcPr>
          <w:p w14:paraId="263C0395" w14:textId="77777777" w:rsidR="00AC4906" w:rsidRDefault="00AC4906">
            <w:pPr>
              <w:pStyle w:val="Contenudetableau"/>
              <w:pBdr>
                <w:bottom w:val="single" w:sz="8" w:space="1" w:color="000001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1488" w:type="dxa"/>
            <w:hideMark/>
          </w:tcPr>
          <w:p w14:paraId="67622426" w14:textId="77777777" w:rsidR="00AC4906" w:rsidRDefault="00AC4906">
            <w:pPr>
              <w:pStyle w:val="Contenudetableau"/>
              <w:snapToGrid w:val="0"/>
              <w:jc w:val="center"/>
            </w:pPr>
            <w:r>
              <w:t> </w:t>
            </w:r>
          </w:p>
        </w:tc>
      </w:tr>
      <w:tr w:rsidR="00AC4906" w14:paraId="379575A7" w14:textId="77777777" w:rsidTr="00AC4906">
        <w:tc>
          <w:tcPr>
            <w:tcW w:w="1530" w:type="dxa"/>
            <w:hideMark/>
          </w:tcPr>
          <w:p w14:paraId="2F769F7C" w14:textId="77777777" w:rsidR="00AC4906" w:rsidRDefault="00AC4906">
            <w:pPr>
              <w:pStyle w:val="Contenudetableau"/>
              <w:snapToGrid w:val="0"/>
              <w:jc w:val="center"/>
            </w:pPr>
            <w:r>
              <w:t> </w:t>
            </w:r>
          </w:p>
        </w:tc>
        <w:tc>
          <w:tcPr>
            <w:tcW w:w="975" w:type="dxa"/>
            <w:hideMark/>
          </w:tcPr>
          <w:p w14:paraId="74D11BA1" w14:textId="77777777" w:rsidR="00AC4906" w:rsidRDefault="00AC4906">
            <w:pPr>
              <w:pStyle w:val="Contenudetableau"/>
              <w:snapToGrid w:val="0"/>
              <w:jc w:val="center"/>
            </w:pPr>
            <w:r>
              <w:t> </w:t>
            </w:r>
          </w:p>
        </w:tc>
        <w:tc>
          <w:tcPr>
            <w:tcW w:w="1488" w:type="dxa"/>
            <w:hideMark/>
          </w:tcPr>
          <w:p w14:paraId="151DE98D" w14:textId="77777777" w:rsidR="00AC4906" w:rsidRDefault="00AC4906">
            <w:pPr>
              <w:pStyle w:val="Contenudetableau"/>
              <w:snapToGrid w:val="0"/>
              <w:jc w:val="center"/>
            </w:pPr>
            <w:r>
              <w:t> </w:t>
            </w:r>
          </w:p>
        </w:tc>
      </w:tr>
    </w:tbl>
    <w:p w14:paraId="7BCF60AE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CEB52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9C8939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920C8" w14:textId="736562FB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0032">
        <w:rPr>
          <w:rFonts w:ascii="Times New Roman" w:hAnsi="Times New Roman"/>
          <w:b/>
          <w:bCs/>
          <w:sz w:val="24"/>
          <w:szCs w:val="24"/>
        </w:rPr>
        <w:t xml:space="preserve">Arrêté du </w:t>
      </w:r>
      <w:r w:rsidR="00B670BE" w:rsidRPr="00620032">
        <w:rPr>
          <w:rFonts w:ascii="Times New Roman" w:hAnsi="Times New Roman"/>
          <w:b/>
          <w:bCs/>
          <w:sz w:val="24"/>
          <w:szCs w:val="24"/>
        </w:rPr>
        <w:t>XX</w:t>
      </w:r>
    </w:p>
    <w:p w14:paraId="6B7B60A9" w14:textId="1B89F965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portant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création </w:t>
      </w:r>
      <w:r w:rsidR="0039109A">
        <w:rPr>
          <w:rFonts w:ascii="Times New Roman" w:hAnsi="Times New Roman"/>
          <w:b/>
          <w:bCs/>
          <w:sz w:val="24"/>
          <w:szCs w:val="24"/>
        </w:rPr>
        <w:t xml:space="preserve">du </w:t>
      </w:r>
      <w:r>
        <w:rPr>
          <w:rFonts w:ascii="Times New Roman" w:hAnsi="Times New Roman"/>
          <w:b/>
          <w:bCs/>
          <w:sz w:val="24"/>
          <w:szCs w:val="24"/>
        </w:rPr>
        <w:t xml:space="preserve">programme </w:t>
      </w:r>
      <w:r w:rsidR="0039109A">
        <w:rPr>
          <w:rFonts w:ascii="Times New Roman" w:hAnsi="Times New Roman"/>
          <w:b/>
          <w:bCs/>
          <w:sz w:val="24"/>
          <w:szCs w:val="24"/>
        </w:rPr>
        <w:t xml:space="preserve">FEEBAT 3 </w:t>
      </w:r>
      <w:r>
        <w:rPr>
          <w:rFonts w:ascii="Times New Roman" w:hAnsi="Times New Roman"/>
          <w:b/>
          <w:bCs/>
          <w:sz w:val="24"/>
          <w:szCs w:val="24"/>
        </w:rPr>
        <w:t>dans le cadre du dispositif des certificats d’économies d’énergie</w:t>
      </w:r>
    </w:p>
    <w:p w14:paraId="77382296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3F93C39C" w14:textId="17315DAD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NOR : </w:t>
      </w:r>
      <w:r w:rsidR="00620032">
        <w:rPr>
          <w:rFonts w:ascii="Times New Roman" w:hAnsi="Times New Roman"/>
          <w:b/>
          <w:bCs/>
          <w:color w:val="000000"/>
          <w:sz w:val="24"/>
          <w:szCs w:val="24"/>
        </w:rPr>
        <w:t>XXX</w:t>
      </w:r>
    </w:p>
    <w:p w14:paraId="22C41FE6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908876E" w14:textId="77777777" w:rsidR="00AC4906" w:rsidRPr="00254D69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4D69">
        <w:rPr>
          <w:rFonts w:ascii="Times New Roman" w:hAnsi="Times New Roman"/>
          <w:sz w:val="24"/>
          <w:szCs w:val="24"/>
        </w:rPr>
        <w:t>  </w:t>
      </w:r>
    </w:p>
    <w:p w14:paraId="37406EBD" w14:textId="77777777" w:rsidR="00AC4906" w:rsidRPr="00254D69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4D69">
        <w:rPr>
          <w:rFonts w:ascii="Times New Roman" w:hAnsi="Times New Roman"/>
          <w:sz w:val="24"/>
          <w:szCs w:val="24"/>
        </w:rPr>
        <w:t> </w:t>
      </w:r>
    </w:p>
    <w:p w14:paraId="12E99E78" w14:textId="739F94B7" w:rsidR="00651175" w:rsidRPr="00065CF6" w:rsidRDefault="00651175" w:rsidP="00065CF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65CF6">
        <w:rPr>
          <w:rFonts w:ascii="Times New Roman" w:hAnsi="Times New Roman"/>
          <w:b/>
          <w:i/>
          <w:sz w:val="24"/>
          <w:szCs w:val="24"/>
        </w:rPr>
        <w:t xml:space="preserve">Publics concernés : </w:t>
      </w:r>
      <w:r w:rsidRPr="00065CF6">
        <w:rPr>
          <w:rFonts w:ascii="Times New Roman" w:hAnsi="Times New Roman"/>
          <w:bCs/>
          <w:i/>
          <w:sz w:val="24"/>
          <w:szCs w:val="24"/>
        </w:rPr>
        <w:t>porteurs de programmes, bénéficiaires et demandeurs éligibles dans le cadre du dispositif des certificats d’économies d’énergie.</w:t>
      </w:r>
    </w:p>
    <w:p w14:paraId="3AA389CB" w14:textId="1C196E70" w:rsidR="00651175" w:rsidRPr="00065CF6" w:rsidRDefault="00651175" w:rsidP="00065CF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65CF6">
        <w:rPr>
          <w:rFonts w:ascii="Times New Roman" w:hAnsi="Times New Roman"/>
          <w:b/>
          <w:i/>
          <w:sz w:val="24"/>
          <w:szCs w:val="24"/>
        </w:rPr>
        <w:t xml:space="preserve">Objet : </w:t>
      </w:r>
      <w:r w:rsidR="00801D3C">
        <w:rPr>
          <w:rFonts w:ascii="Times New Roman" w:hAnsi="Times New Roman"/>
          <w:bCs/>
          <w:i/>
          <w:sz w:val="24"/>
          <w:szCs w:val="24"/>
        </w:rPr>
        <w:t>c</w:t>
      </w:r>
      <w:r w:rsidRPr="00065CF6">
        <w:rPr>
          <w:rFonts w:ascii="Times New Roman" w:hAnsi="Times New Roman"/>
          <w:bCs/>
          <w:i/>
          <w:sz w:val="24"/>
          <w:szCs w:val="24"/>
        </w:rPr>
        <w:t>réation d’un programme d’accompagnement en faveur des économies d’énergie dans le cadre du dispositif des certificats d’économies d’énergie.</w:t>
      </w:r>
    </w:p>
    <w:p w14:paraId="64E11FF0" w14:textId="7DA418EF" w:rsidR="00651175" w:rsidRPr="00065CF6" w:rsidRDefault="00651175" w:rsidP="00065CF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65CF6">
        <w:rPr>
          <w:rFonts w:ascii="Times New Roman" w:hAnsi="Times New Roman"/>
          <w:b/>
          <w:i/>
          <w:sz w:val="24"/>
          <w:szCs w:val="24"/>
        </w:rPr>
        <w:t xml:space="preserve">Entrée en vigueur : </w:t>
      </w:r>
      <w:r w:rsidRPr="00065CF6">
        <w:rPr>
          <w:rFonts w:ascii="Times New Roman" w:hAnsi="Times New Roman"/>
          <w:bCs/>
          <w:i/>
          <w:sz w:val="24"/>
          <w:szCs w:val="24"/>
        </w:rPr>
        <w:t>le présent arrêté entre en vigueur le lendemain de sa publication.</w:t>
      </w:r>
    </w:p>
    <w:p w14:paraId="2B931A9F" w14:textId="5BE38259" w:rsidR="00651175" w:rsidRPr="00065CF6" w:rsidRDefault="00651175" w:rsidP="00651175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65CF6">
        <w:rPr>
          <w:rFonts w:ascii="Times New Roman" w:hAnsi="Times New Roman"/>
          <w:b/>
          <w:i/>
          <w:sz w:val="24"/>
          <w:szCs w:val="24"/>
        </w:rPr>
        <w:t xml:space="preserve">Application : </w:t>
      </w:r>
      <w:r w:rsidRPr="00065CF6">
        <w:rPr>
          <w:rFonts w:ascii="Times New Roman" w:hAnsi="Times New Roman"/>
          <w:bCs/>
          <w:i/>
          <w:sz w:val="24"/>
          <w:szCs w:val="24"/>
        </w:rPr>
        <w:t xml:space="preserve">le présent arrêté est </w:t>
      </w:r>
      <w:r w:rsidR="0039109A">
        <w:rPr>
          <w:rFonts w:ascii="Times New Roman" w:hAnsi="Times New Roman"/>
          <w:bCs/>
          <w:i/>
          <w:sz w:val="24"/>
          <w:szCs w:val="24"/>
        </w:rPr>
        <w:t>pris en application de l’article L. 221-7 du code de l’énergie</w:t>
      </w:r>
      <w:r w:rsidR="00687FEE">
        <w:rPr>
          <w:rFonts w:ascii="Times New Roman" w:hAnsi="Times New Roman"/>
          <w:bCs/>
          <w:i/>
          <w:sz w:val="24"/>
          <w:szCs w:val="24"/>
        </w:rPr>
        <w:t>.</w:t>
      </w:r>
    </w:p>
    <w:p w14:paraId="4C32820C" w14:textId="3E4D61A7" w:rsidR="00AC4906" w:rsidRPr="00065CF6" w:rsidRDefault="00AC4906" w:rsidP="00AC490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5CF6">
        <w:rPr>
          <w:rFonts w:ascii="Times New Roman" w:hAnsi="Times New Roman"/>
          <w:sz w:val="28"/>
          <w:szCs w:val="28"/>
        </w:rPr>
        <w:t> </w:t>
      </w:r>
    </w:p>
    <w:p w14:paraId="48B3ED03" w14:textId="77777777" w:rsidR="00AC4906" w:rsidRPr="00065CF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5CF6">
        <w:rPr>
          <w:rFonts w:ascii="Times New Roman" w:hAnsi="Times New Roman"/>
          <w:sz w:val="28"/>
          <w:szCs w:val="28"/>
        </w:rPr>
        <w:t> </w:t>
      </w:r>
    </w:p>
    <w:p w14:paraId="39986016" w14:textId="77777777" w:rsidR="00AC4906" w:rsidRPr="00065CF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AF739" w14:textId="0F187557" w:rsidR="00AC4906" w:rsidRPr="00065CF6" w:rsidRDefault="0039109A" w:rsidP="00065CF6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</w:t>
      </w:r>
      <w:r w:rsidR="0020463C" w:rsidRPr="0020463C">
        <w:rPr>
          <w:rFonts w:ascii="Times New Roman" w:hAnsi="Times New Roman"/>
          <w:b/>
          <w:sz w:val="24"/>
          <w:szCs w:val="24"/>
        </w:rPr>
        <w:t xml:space="preserve"> ministre de l’économie, des finances et de la souveraineté industrielle, énergétique et numérique</w:t>
      </w:r>
      <w:r w:rsidR="00AC4906" w:rsidRPr="00065CF6">
        <w:rPr>
          <w:rFonts w:ascii="Times New Roman" w:hAnsi="Times New Roman"/>
          <w:b/>
          <w:sz w:val="24"/>
          <w:szCs w:val="24"/>
        </w:rPr>
        <w:t xml:space="preserve">, </w:t>
      </w:r>
    </w:p>
    <w:p w14:paraId="2ADB0745" w14:textId="77777777" w:rsidR="00AC4906" w:rsidRPr="00065CF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5CF6">
        <w:rPr>
          <w:rFonts w:ascii="Times New Roman" w:hAnsi="Times New Roman"/>
          <w:sz w:val="28"/>
          <w:szCs w:val="28"/>
        </w:rPr>
        <w:t> </w:t>
      </w:r>
    </w:p>
    <w:p w14:paraId="2FB2B96F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 le code de l’énergie, notamment ses articles L. 221-7 et R. 221-14 ;</w:t>
      </w:r>
    </w:p>
    <w:p w14:paraId="7680A938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0E8B7A3" w14:textId="3BD14EF4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 l’arrêté du 4 septembre 2014 modifié fixant la liste des éléments d’une demande de certificats d’économies d’énergie et les documents à archiver par le demandeur</w:t>
      </w:r>
      <w:r w:rsidR="007E51E4">
        <w:rPr>
          <w:rFonts w:ascii="Times New Roman" w:hAnsi="Times New Roman"/>
          <w:sz w:val="24"/>
          <w:szCs w:val="24"/>
        </w:rPr>
        <w:t>,</w:t>
      </w:r>
    </w:p>
    <w:p w14:paraId="5A90E4F9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D1202" w14:textId="7861AF44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Vu l’avis du Conseil supérieur de l’énergie en date du </w:t>
      </w:r>
      <w:r w:rsidR="00620032"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,</w:t>
      </w:r>
    </w:p>
    <w:p w14:paraId="21987945" w14:textId="77777777" w:rsidR="00AC4906" w:rsidRDefault="00AC4906" w:rsidP="00AC49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8382C7" w14:textId="77777777" w:rsidR="00230B97" w:rsidRDefault="00230B97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3D188C3" w14:textId="566A9FDB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ARRÊTE</w:t>
      </w:r>
    </w:p>
    <w:p w14:paraId="68786F83" w14:textId="77777777" w:rsidR="00AC4906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A5EE2C9" w14:textId="2989964A" w:rsidR="00AC4906" w:rsidRPr="00801D3C" w:rsidRDefault="00AC4906" w:rsidP="00683C8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Art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zh-CN"/>
        </w:rPr>
        <w:t>icle 1</w:t>
      </w:r>
      <w:r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er</w:t>
      </w:r>
    </w:p>
    <w:p w14:paraId="1DD122E9" w14:textId="5928D8DC" w:rsidR="00651175" w:rsidRDefault="00651175" w:rsidP="00A5719C">
      <w:pPr>
        <w:pStyle w:val="Corpsdetexte"/>
        <w:spacing w:before="120" w:after="120"/>
      </w:pPr>
      <w:r>
        <w:t xml:space="preserve">Le programme </w:t>
      </w:r>
      <w:r w:rsidR="006710BA">
        <w:t>d’in</w:t>
      </w:r>
      <w:r w:rsidR="00CC22F6">
        <w:t>forma</w:t>
      </w:r>
      <w:r w:rsidR="006710BA">
        <w:t xml:space="preserve">tion </w:t>
      </w:r>
      <w:r>
        <w:t>PRO</w:t>
      </w:r>
      <w:r w:rsidR="00641D57">
        <w:t>-FOR-</w:t>
      </w:r>
      <w:r w:rsidR="00A5719C">
        <w:t>16</w:t>
      </w:r>
      <w:r w:rsidR="00DD0A96">
        <w:t xml:space="preserve"> </w:t>
      </w:r>
      <w:r w:rsidR="008751EF">
        <w:t>« </w:t>
      </w:r>
      <w:r w:rsidR="00DF3EA0">
        <w:t>FEEBAT 3</w:t>
      </w:r>
      <w:r w:rsidR="00DA68CE">
        <w:t xml:space="preserve"> </w:t>
      </w:r>
      <w:r>
        <w:t>», décrit en annexe</w:t>
      </w:r>
      <w:r w:rsidR="00B078CD">
        <w:t xml:space="preserve">, </w:t>
      </w:r>
      <w:r>
        <w:t xml:space="preserve">est éligible au dispositif des certificats d'économies d'énergie dans les conditions définies par le présent arrêté pour les contributions versées à compter de l'entrée en vigueur du présent arrêté et </w:t>
      </w:r>
      <w:r w:rsidR="00801D3C">
        <w:t>pour une durée de trois ans à</w:t>
      </w:r>
      <w:r w:rsidR="00801D3C" w:rsidRPr="00A5719C">
        <w:t xml:space="preserve"> compter de la date de publication du présent arrêté</w:t>
      </w:r>
      <w:r w:rsidR="00A5719C" w:rsidRPr="00A5719C">
        <w:t>.</w:t>
      </w:r>
    </w:p>
    <w:p w14:paraId="18C932DA" w14:textId="77777777" w:rsidR="00AC4906" w:rsidRPr="00F1573D" w:rsidRDefault="00AC4906" w:rsidP="00AC4906">
      <w:pPr>
        <w:suppressAutoHyphens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eastAsia="zh-CN"/>
        </w:rPr>
      </w:pPr>
      <w:r w:rsidRPr="00F1573D">
        <w:rPr>
          <w:rFonts w:ascii="Times New Roman" w:hAnsi="Times New Roman"/>
          <w:b/>
          <w:sz w:val="24"/>
          <w:szCs w:val="24"/>
          <w:lang w:eastAsia="zh-CN"/>
        </w:rPr>
        <w:t>Article 2</w:t>
      </w:r>
    </w:p>
    <w:p w14:paraId="250C43FF" w14:textId="77777777" w:rsidR="00AC4906" w:rsidRPr="00F1573D" w:rsidRDefault="00AC4906" w:rsidP="00065CF6">
      <w:pPr>
        <w:pStyle w:val="SNSignatureGauche"/>
        <w:ind w:firstLine="0"/>
        <w:jc w:val="both"/>
        <w:rPr>
          <w:bCs/>
        </w:rPr>
      </w:pPr>
      <w:r w:rsidRPr="00F1573D">
        <w:t xml:space="preserve">La directrice </w:t>
      </w:r>
      <w:r w:rsidRPr="00F1573D">
        <w:rPr>
          <w:bCs/>
        </w:rPr>
        <w:t>du climat, de l’efficacité énergétique et de l’air</w:t>
      </w:r>
      <w:r w:rsidRPr="00F1573D">
        <w:t xml:space="preserve"> est chargée de l’exécution du présent arrêté, qui sera publié au </w:t>
      </w:r>
      <w:r w:rsidRPr="00F1573D">
        <w:rPr>
          <w:i/>
        </w:rPr>
        <w:t>Journal officiel</w:t>
      </w:r>
      <w:r w:rsidRPr="00F1573D">
        <w:t xml:space="preserve"> de la République française. </w:t>
      </w:r>
    </w:p>
    <w:p w14:paraId="62994D8C" w14:textId="77777777" w:rsidR="00AC4906" w:rsidRPr="00F1573D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40F1BE" w14:textId="77777777" w:rsidR="00AC4906" w:rsidRPr="00F1573D" w:rsidRDefault="00AC4906" w:rsidP="00AC4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6BF7F" w14:textId="11D7A1AE" w:rsidR="00AC4906" w:rsidRPr="00F1573D" w:rsidRDefault="00AC4906" w:rsidP="00AC4906">
      <w:pPr>
        <w:pStyle w:val="SNDatearrt"/>
        <w:ind w:firstLine="0"/>
      </w:pPr>
      <w:r w:rsidRPr="00F1573D">
        <w:t xml:space="preserve">Fait le </w:t>
      </w:r>
      <w:r w:rsidRPr="00F1573D">
        <w:tab/>
      </w:r>
      <w:r w:rsidR="00B670BE" w:rsidRPr="006C1129">
        <w:t>XX</w:t>
      </w:r>
      <w:r w:rsidRPr="00F1573D">
        <w:tab/>
      </w:r>
      <w:r w:rsidRPr="00F1573D">
        <w:tab/>
      </w:r>
      <w:r w:rsidRPr="00F1573D">
        <w:tab/>
      </w:r>
    </w:p>
    <w:p w14:paraId="286D2AD4" w14:textId="385A48B9" w:rsidR="00AC4906" w:rsidRPr="00F1573D" w:rsidRDefault="00AC4906" w:rsidP="00AC4906">
      <w:pPr>
        <w:pStyle w:val="SNDatearrt"/>
        <w:spacing w:before="0" w:after="0"/>
        <w:ind w:firstLine="0"/>
      </w:pPr>
      <w:r w:rsidRPr="00F1573D">
        <w:t>Pour l</w:t>
      </w:r>
      <w:r w:rsidR="00523B7D">
        <w:t>e</w:t>
      </w:r>
      <w:r w:rsidRPr="00F1573D">
        <w:t xml:space="preserve"> ministre</w:t>
      </w:r>
      <w:r w:rsidR="006710BA">
        <w:t xml:space="preserve"> et par délégation :</w:t>
      </w:r>
    </w:p>
    <w:p w14:paraId="18235395" w14:textId="77777777" w:rsidR="00F25411" w:rsidRPr="00F25411" w:rsidRDefault="00F25411" w:rsidP="00F25411">
      <w:pPr>
        <w:pStyle w:val="SNSignatureGauche"/>
        <w:ind w:firstLine="0"/>
        <w:rPr>
          <w:bCs/>
        </w:rPr>
      </w:pPr>
      <w:r w:rsidRPr="00F25411">
        <w:rPr>
          <w:bCs/>
        </w:rPr>
        <w:t>La directrice du climat, de l’efficacité énergétique et de l’air,</w:t>
      </w:r>
    </w:p>
    <w:p w14:paraId="1E4A4A68" w14:textId="77777777" w:rsidR="00F25411" w:rsidRPr="00F25411" w:rsidRDefault="00F25411" w:rsidP="00F25411">
      <w:pPr>
        <w:pStyle w:val="SNSignatureGauche"/>
        <w:rPr>
          <w:bCs/>
        </w:rPr>
      </w:pPr>
    </w:p>
    <w:p w14:paraId="7F2C0901" w14:textId="77777777" w:rsidR="00F25411" w:rsidRPr="00F25411" w:rsidRDefault="00F25411" w:rsidP="00F25411">
      <w:pPr>
        <w:pStyle w:val="SNSignatureGauche"/>
        <w:ind w:firstLine="0"/>
        <w:rPr>
          <w:bCs/>
        </w:rPr>
      </w:pPr>
    </w:p>
    <w:p w14:paraId="576277DA" w14:textId="77777777" w:rsidR="00F25411" w:rsidRPr="00F25411" w:rsidRDefault="00F25411" w:rsidP="00F25411">
      <w:pPr>
        <w:pStyle w:val="SNSignatureGauche"/>
        <w:rPr>
          <w:bCs/>
        </w:rPr>
      </w:pPr>
    </w:p>
    <w:p w14:paraId="779CD636" w14:textId="77777777" w:rsidR="00F25411" w:rsidRPr="00F25411" w:rsidRDefault="00F25411" w:rsidP="00F25411">
      <w:pPr>
        <w:pStyle w:val="SNSignatureGauche"/>
        <w:rPr>
          <w:bCs/>
        </w:rPr>
      </w:pPr>
    </w:p>
    <w:p w14:paraId="4213EB52" w14:textId="56D2C4A9" w:rsidR="00AC4906" w:rsidRPr="00FB484A" w:rsidRDefault="00F25411" w:rsidP="00F25411">
      <w:pPr>
        <w:pStyle w:val="SNSignatureGauche"/>
        <w:ind w:firstLine="0"/>
        <w:rPr>
          <w:bCs/>
          <w:lang w:val="en-GB"/>
        </w:rPr>
      </w:pPr>
      <w:r w:rsidRPr="00FB484A">
        <w:rPr>
          <w:bCs/>
          <w:lang w:val="en-GB"/>
        </w:rPr>
        <w:t>D. SIMIU</w:t>
      </w:r>
    </w:p>
    <w:p w14:paraId="11378DB8" w14:textId="77777777" w:rsidR="00AC4906" w:rsidRPr="00FB484A" w:rsidRDefault="00AC4906" w:rsidP="00AC4906">
      <w:pPr>
        <w:pStyle w:val="SNSignatureGauche"/>
        <w:ind w:firstLine="0"/>
        <w:rPr>
          <w:bCs/>
          <w:lang w:val="en-GB"/>
        </w:rPr>
      </w:pPr>
    </w:p>
    <w:p w14:paraId="1B449906" w14:textId="77777777" w:rsidR="00AC4906" w:rsidRPr="00FB484A" w:rsidRDefault="00AC4906" w:rsidP="00AC4906">
      <w:pPr>
        <w:pStyle w:val="SNSignatureGauche"/>
        <w:ind w:firstLine="0"/>
        <w:rPr>
          <w:bCs/>
          <w:lang w:val="en-GB"/>
        </w:rPr>
      </w:pPr>
    </w:p>
    <w:p w14:paraId="31AF321A" w14:textId="77777777" w:rsidR="00AC4906" w:rsidRPr="00FB484A" w:rsidRDefault="00AC4906" w:rsidP="00AC4906">
      <w:pPr>
        <w:pStyle w:val="SNSignatureGauche"/>
        <w:ind w:firstLine="0"/>
        <w:rPr>
          <w:bCs/>
          <w:lang w:val="en-GB"/>
        </w:rPr>
      </w:pPr>
    </w:p>
    <w:p w14:paraId="56B1D7FB" w14:textId="796828BB" w:rsidR="00230B97" w:rsidRDefault="00230B97">
      <w:pPr>
        <w:spacing w:line="259" w:lineRule="auto"/>
        <w:rPr>
          <w:bCs/>
          <w:lang w:val="en-GB"/>
        </w:rPr>
      </w:pPr>
      <w:r>
        <w:rPr>
          <w:bCs/>
          <w:lang w:val="en-GB"/>
        </w:rPr>
        <w:br w:type="page"/>
      </w:r>
    </w:p>
    <w:p w14:paraId="73066DFE" w14:textId="77777777" w:rsidR="00230B97" w:rsidRPr="00346772" w:rsidRDefault="00230B97" w:rsidP="00230B97">
      <w:pPr>
        <w:jc w:val="center"/>
        <w:rPr>
          <w:rFonts w:ascii="Times New Roman" w:hAnsi="Times New Roman"/>
          <w:color w:val="00000A"/>
          <w:sz w:val="24"/>
          <w:szCs w:val="24"/>
          <w:lang w:val="en-GB"/>
        </w:rPr>
      </w:pPr>
      <w:bookmarkStart w:id="1" w:name="_Hlk193968117"/>
      <w:bookmarkStart w:id="2" w:name="_Hlk193968149"/>
      <w:r w:rsidRPr="00346772">
        <w:rPr>
          <w:rFonts w:ascii="Times New Roman" w:hAnsi="Times New Roman"/>
          <w:color w:val="00000A"/>
          <w:sz w:val="24"/>
          <w:szCs w:val="24"/>
          <w:lang w:val="en-GB"/>
        </w:rPr>
        <w:lastRenderedPageBreak/>
        <w:t>ANNEXE</w:t>
      </w:r>
    </w:p>
    <w:p w14:paraId="58B6B10B" w14:textId="77777777" w:rsidR="00230B97" w:rsidRPr="00346772" w:rsidRDefault="00230B97" w:rsidP="00230B97">
      <w:pPr>
        <w:rPr>
          <w:rFonts w:ascii="Times New Roman" w:hAnsi="Times New Roman"/>
          <w:color w:val="00000A"/>
          <w:sz w:val="24"/>
          <w:szCs w:val="24"/>
          <w:lang w:val="en-GB"/>
        </w:rPr>
      </w:pPr>
    </w:p>
    <w:p w14:paraId="2E2C769F" w14:textId="2ADB7E1F" w:rsidR="00230B97" w:rsidRPr="00A021DB" w:rsidRDefault="00230B97" w:rsidP="00A021DB">
      <w:pPr>
        <w:jc w:val="center"/>
        <w:rPr>
          <w:rFonts w:ascii="Times New Roman" w:hAnsi="Times New Roman"/>
          <w:color w:val="00000A"/>
          <w:sz w:val="24"/>
          <w:szCs w:val="24"/>
          <w:lang w:val="en-GB"/>
        </w:rPr>
      </w:pPr>
      <w:r w:rsidRPr="00346772">
        <w:rPr>
          <w:rFonts w:ascii="Times New Roman" w:hAnsi="Times New Roman"/>
          <w:bCs/>
          <w:sz w:val="24"/>
          <w:szCs w:val="24"/>
          <w:lang w:val="en-GB"/>
        </w:rPr>
        <w:t xml:space="preserve">Programme n° </w:t>
      </w:r>
      <w:r w:rsidRPr="00346772"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  <w:t>PRO-</w:t>
      </w:r>
      <w:r w:rsidR="00CC22F6"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  <w:t>F</w:t>
      </w:r>
      <w:r w:rsidR="00BD74E0"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  <w:t>O</w:t>
      </w:r>
      <w:r w:rsidR="00641D57"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  <w:t>R</w:t>
      </w:r>
      <w:r w:rsidR="00BD74E0"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  <w:t>-</w:t>
      </w:r>
      <w:r w:rsidR="00A5719C"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  <w:t>16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9360"/>
      </w:tblGrid>
      <w:tr w:rsidR="00230B97" w:rsidRPr="00346772" w14:paraId="055F7950" w14:textId="77777777" w:rsidTr="00230B97">
        <w:trPr>
          <w:trHeight w:val="576"/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  <w:hideMark/>
          </w:tcPr>
          <w:p w14:paraId="6E99FA5D" w14:textId="16DDB720" w:rsidR="00410156" w:rsidRPr="00410156" w:rsidRDefault="00641D57" w:rsidP="00CB4D99">
            <w:pPr>
              <w:spacing w:before="24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Formation des professionnels du bâtiment aux économies d’énergie</w:t>
            </w:r>
          </w:p>
          <w:p w14:paraId="7ACF7F9C" w14:textId="52D7D930" w:rsidR="00230B97" w:rsidRPr="00346772" w:rsidRDefault="00641D57" w:rsidP="004101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FEEBAT 3</w:t>
            </w:r>
          </w:p>
        </w:tc>
      </w:tr>
    </w:tbl>
    <w:p w14:paraId="23AEBA17" w14:textId="77777777" w:rsidR="00A021DB" w:rsidRDefault="00A021DB" w:rsidP="00230B97">
      <w:pPr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98CE4E9" w14:textId="059AEE25" w:rsidR="00230B97" w:rsidRPr="00230B97" w:rsidRDefault="00230B97" w:rsidP="00230B97">
      <w:pPr>
        <w:jc w:val="both"/>
        <w:outlineLvl w:val="0"/>
        <w:rPr>
          <w:rFonts w:ascii="Times New Roman" w:hAnsi="Times New Roman"/>
          <w:color w:val="00000A"/>
          <w:sz w:val="24"/>
          <w:szCs w:val="24"/>
        </w:rPr>
      </w:pPr>
      <w:r w:rsidRPr="00230B9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1. Secteur </w:t>
      </w:r>
      <w:bookmarkStart w:id="3" w:name="_Hlk193295323"/>
      <w:r w:rsidRPr="00230B97">
        <w:rPr>
          <w:rFonts w:ascii="Times New Roman" w:hAnsi="Times New Roman"/>
          <w:b/>
          <w:color w:val="00000A"/>
          <w:sz w:val="24"/>
          <w:szCs w:val="24"/>
          <w:u w:val="single"/>
        </w:rPr>
        <w:t>d’application</w:t>
      </w:r>
    </w:p>
    <w:bookmarkEnd w:id="1"/>
    <w:p w14:paraId="3D6019F3" w14:textId="545ABD9B" w:rsidR="00230B97" w:rsidRPr="00230B97" w:rsidRDefault="00641D57" w:rsidP="00230B97">
      <w:pPr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F</w:t>
      </w:r>
      <w:r w:rsidR="00CC22F6">
        <w:rPr>
          <w:rFonts w:ascii="Times New Roman" w:hAnsi="Times New Roman"/>
          <w:color w:val="00000A"/>
          <w:sz w:val="24"/>
          <w:szCs w:val="24"/>
        </w:rPr>
        <w:t>ormation</w:t>
      </w:r>
      <w:bookmarkEnd w:id="3"/>
      <w:r w:rsidR="005B7963">
        <w:rPr>
          <w:rFonts w:ascii="Times New Roman" w:hAnsi="Times New Roman"/>
          <w:color w:val="00000A"/>
          <w:sz w:val="24"/>
          <w:szCs w:val="24"/>
        </w:rPr>
        <w:t>.</w:t>
      </w:r>
    </w:p>
    <w:p w14:paraId="2AD06050" w14:textId="77777777" w:rsidR="00230B97" w:rsidRPr="00230B97" w:rsidRDefault="00230B97" w:rsidP="00230B97">
      <w:pPr>
        <w:jc w:val="both"/>
        <w:outlineLvl w:val="0"/>
        <w:rPr>
          <w:rFonts w:ascii="Times New Roman" w:hAnsi="Times New Roman"/>
          <w:b/>
          <w:color w:val="00000A"/>
          <w:sz w:val="24"/>
          <w:szCs w:val="24"/>
          <w:u w:val="single"/>
        </w:rPr>
      </w:pPr>
      <w:r w:rsidRPr="00230B97"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Pr="00230B97">
        <w:rPr>
          <w:rFonts w:ascii="Times New Roman" w:hAnsi="Times New Roman"/>
          <w:b/>
          <w:color w:val="00000A"/>
          <w:sz w:val="24"/>
          <w:szCs w:val="24"/>
          <w:u w:val="single"/>
        </w:rPr>
        <w:t>Dénomination</w:t>
      </w:r>
      <w:bookmarkEnd w:id="2"/>
    </w:p>
    <w:p w14:paraId="76E9F3F4" w14:textId="1FAB842A" w:rsidR="00641D57" w:rsidRDefault="00D3534B" w:rsidP="00641D5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L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e programme </w:t>
      </w:r>
      <w:r w:rsidR="003E673B">
        <w:rPr>
          <w:rFonts w:ascii="Times New Roman" w:hAnsi="Times New Roman"/>
          <w:color w:val="00000A"/>
          <w:sz w:val="24"/>
          <w:szCs w:val="24"/>
          <w:lang w:eastAsia="zh-CN"/>
        </w:rPr>
        <w:t>FEEBAT 3 (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>Formation des professionnels du bâtiment aux économies d’énergie)</w:t>
      </w:r>
      <w:r w:rsidR="003E673B">
        <w:rPr>
          <w:rFonts w:ascii="Times New Roman" w:hAnsi="Times New Roman"/>
          <w:color w:val="00000A"/>
          <w:sz w:val="24"/>
          <w:szCs w:val="24"/>
          <w:lang w:eastAsia="zh-CN"/>
        </w:rPr>
        <w:t>,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porté par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l’Association </w:t>
      </w:r>
      <w:r w:rsidR="005D36FF">
        <w:rPr>
          <w:rFonts w:ascii="Times New Roman" w:hAnsi="Times New Roman"/>
          <w:color w:val="00000A"/>
          <w:sz w:val="24"/>
          <w:szCs w:val="24"/>
          <w:lang w:eastAsia="zh-CN"/>
        </w:rPr>
        <w:t>t</w:t>
      </w:r>
      <w:r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echnique </w:t>
      </w:r>
      <w:r w:rsidR="005D36FF">
        <w:rPr>
          <w:rFonts w:ascii="Times New Roman" w:hAnsi="Times New Roman"/>
          <w:color w:val="00000A"/>
          <w:sz w:val="24"/>
          <w:szCs w:val="24"/>
          <w:lang w:eastAsia="zh-CN"/>
        </w:rPr>
        <w:t>é</w:t>
      </w:r>
      <w:r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nergie </w:t>
      </w:r>
      <w:r w:rsidR="005D36FF">
        <w:rPr>
          <w:rFonts w:ascii="Times New Roman" w:hAnsi="Times New Roman"/>
          <w:color w:val="00000A"/>
          <w:sz w:val="24"/>
          <w:szCs w:val="24"/>
          <w:lang w:eastAsia="zh-CN"/>
        </w:rPr>
        <w:t>e</w:t>
      </w:r>
      <w:r w:rsidRPr="00641D57">
        <w:rPr>
          <w:rFonts w:ascii="Times New Roman" w:hAnsi="Times New Roman"/>
          <w:color w:val="00000A"/>
          <w:sz w:val="24"/>
          <w:szCs w:val="24"/>
          <w:lang w:eastAsia="zh-CN"/>
        </w:rPr>
        <w:t>nvironnement (ATEE)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et l’Agence </w:t>
      </w:r>
      <w:r w:rsidR="005D36FF">
        <w:rPr>
          <w:rFonts w:ascii="Times New Roman" w:hAnsi="Times New Roman"/>
          <w:color w:val="00000A"/>
          <w:sz w:val="24"/>
          <w:szCs w:val="24"/>
          <w:lang w:eastAsia="zh-CN"/>
        </w:rPr>
        <w:t>q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ualité </w:t>
      </w:r>
      <w:r w:rsidR="005D36FF">
        <w:rPr>
          <w:rFonts w:ascii="Times New Roman" w:hAnsi="Times New Roman"/>
          <w:color w:val="00000A"/>
          <w:sz w:val="24"/>
          <w:szCs w:val="24"/>
          <w:lang w:eastAsia="zh-CN"/>
        </w:rPr>
        <w:t>c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onstruction (A</w:t>
      </w:r>
      <w:r w:rsidR="00A559FD">
        <w:rPr>
          <w:rFonts w:ascii="Times New Roman" w:hAnsi="Times New Roman"/>
          <w:color w:val="00000A"/>
          <w:sz w:val="24"/>
          <w:szCs w:val="24"/>
          <w:lang w:eastAsia="zh-CN"/>
        </w:rPr>
        <w:t>QC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)</w:t>
      </w:r>
      <w:r w:rsidR="003E673B">
        <w:rPr>
          <w:rFonts w:ascii="Times New Roman" w:hAnsi="Times New Roman"/>
          <w:color w:val="00000A"/>
          <w:sz w:val="24"/>
          <w:szCs w:val="24"/>
          <w:lang w:eastAsia="zh-CN"/>
        </w:rPr>
        <w:t>,</w:t>
      </w:r>
      <w:r w:rsidR="00EB46F0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prend la suite </w:t>
      </w:r>
      <w:r w:rsidR="006D0C35">
        <w:rPr>
          <w:rFonts w:ascii="Times New Roman" w:hAnsi="Times New Roman"/>
          <w:color w:val="00000A"/>
          <w:sz w:val="24"/>
          <w:szCs w:val="24"/>
          <w:lang w:eastAsia="zh-CN"/>
        </w:rPr>
        <w:t xml:space="preserve">des actions réalisées dans le cadre </w:t>
      </w:r>
      <w:r w:rsidR="00EB46F0">
        <w:rPr>
          <w:rFonts w:ascii="Times New Roman" w:hAnsi="Times New Roman"/>
          <w:color w:val="00000A"/>
          <w:sz w:val="24"/>
          <w:szCs w:val="24"/>
          <w:lang w:eastAsia="zh-CN"/>
        </w:rPr>
        <w:t xml:space="preserve">du programme </w:t>
      </w:r>
      <w:r w:rsidR="003E673B">
        <w:rPr>
          <w:rFonts w:ascii="Times New Roman" w:hAnsi="Times New Roman"/>
          <w:color w:val="00000A"/>
          <w:sz w:val="24"/>
          <w:szCs w:val="24"/>
          <w:lang w:eastAsia="zh-CN"/>
        </w:rPr>
        <w:t xml:space="preserve">PRO-FOR-14 </w:t>
      </w:r>
      <w:r w:rsidR="00EB46F0">
        <w:rPr>
          <w:rFonts w:ascii="Times New Roman" w:hAnsi="Times New Roman"/>
          <w:color w:val="00000A"/>
          <w:sz w:val="24"/>
          <w:szCs w:val="24"/>
          <w:lang w:eastAsia="zh-CN"/>
        </w:rPr>
        <w:t>« FEEBAT 2 »</w:t>
      </w:r>
      <w:r w:rsidR="00CB4D99">
        <w:rPr>
          <w:rFonts w:ascii="Times New Roman" w:hAnsi="Times New Roman"/>
          <w:color w:val="00000A"/>
          <w:sz w:val="24"/>
          <w:szCs w:val="24"/>
          <w:lang w:eastAsia="zh-CN"/>
        </w:rPr>
        <w:t>. I</w:t>
      </w:r>
      <w:r w:rsidR="00EB46F0">
        <w:rPr>
          <w:rFonts w:ascii="Times New Roman" w:hAnsi="Times New Roman"/>
          <w:color w:val="00000A"/>
          <w:sz w:val="24"/>
          <w:szCs w:val="24"/>
          <w:lang w:eastAsia="zh-CN"/>
        </w:rPr>
        <w:t xml:space="preserve">l 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vise à accompagner la montée en compétence des professionnels du bâtiment, de la construction et du cadre de vie dans le domaine de l’efficacité énergétique autour de trois axes : </w:t>
      </w:r>
    </w:p>
    <w:p w14:paraId="6227A746" w14:textId="77777777" w:rsidR="006F403F" w:rsidRPr="00641D57" w:rsidRDefault="006F403F" w:rsidP="00641D5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14:paraId="0840BE5F" w14:textId="5D6AA037" w:rsidR="00641D57" w:rsidRDefault="005B7963" w:rsidP="005B7963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1. 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Contribuer </w:t>
      </w:r>
      <w:r w:rsidR="00EC10A5">
        <w:rPr>
          <w:rFonts w:ascii="Times New Roman" w:hAnsi="Times New Roman"/>
          <w:color w:val="00000A"/>
          <w:sz w:val="24"/>
          <w:szCs w:val="24"/>
          <w:lang w:eastAsia="zh-CN"/>
        </w:rPr>
        <w:t xml:space="preserve">au renforcement 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d’un socle de connaissances </w:t>
      </w:r>
      <w:r w:rsidR="009278AF">
        <w:rPr>
          <w:rFonts w:ascii="Times New Roman" w:hAnsi="Times New Roman"/>
          <w:color w:val="00000A"/>
          <w:sz w:val="24"/>
          <w:szCs w:val="24"/>
          <w:lang w:eastAsia="zh-CN"/>
        </w:rPr>
        <w:t>et d’une offre de plateaux pédagogiques dans le domaine de la</w:t>
      </w:r>
      <w:r w:rsidR="009278AF"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>rénovation énergétique des bâtiments</w:t>
      </w:r>
      <w:r w:rsidR="009278AF">
        <w:rPr>
          <w:rFonts w:ascii="Times New Roman" w:hAnsi="Times New Roman"/>
          <w:color w:val="00000A"/>
          <w:sz w:val="24"/>
          <w:szCs w:val="24"/>
          <w:lang w:eastAsia="zh-CN"/>
        </w:rPr>
        <w:t>, dans le cadre de la</w:t>
      </w:r>
      <w:r w:rsidR="00EC10A5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formation initiale </w:t>
      </w:r>
      <w:r w:rsidR="00FE6789">
        <w:rPr>
          <w:rFonts w:ascii="Times New Roman" w:hAnsi="Times New Roman"/>
          <w:color w:val="00000A"/>
          <w:sz w:val="24"/>
          <w:szCs w:val="24"/>
          <w:lang w:eastAsia="zh-CN"/>
        </w:rPr>
        <w:t>des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futurs professionnels du bâtiment</w:t>
      </w:r>
      <w:r w:rsidR="009278AF">
        <w:rPr>
          <w:rFonts w:ascii="Times New Roman" w:hAnsi="Times New Roman"/>
          <w:color w:val="00000A"/>
          <w:sz w:val="24"/>
          <w:szCs w:val="24"/>
          <w:lang w:eastAsia="zh-CN"/>
        </w:rPr>
        <w:t> (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>axe porté par l’AQC).</w:t>
      </w:r>
    </w:p>
    <w:p w14:paraId="5C55C6CD" w14:textId="77777777" w:rsidR="006F403F" w:rsidRPr="00641D57" w:rsidRDefault="006F403F" w:rsidP="006F403F">
      <w:pPr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14:paraId="36D3F730" w14:textId="6E09FE2E" w:rsidR="00641D57" w:rsidRDefault="005B7963" w:rsidP="005B7963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2. 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Poursuivre l’appui aux formations </w:t>
      </w:r>
      <w:r w:rsidR="00EC10A5">
        <w:rPr>
          <w:rFonts w:ascii="Times New Roman" w:hAnsi="Times New Roman"/>
          <w:color w:val="00000A"/>
          <w:sz w:val="24"/>
          <w:szCs w:val="24"/>
          <w:lang w:eastAsia="zh-CN"/>
        </w:rPr>
        <w:t xml:space="preserve">continue </w:t>
      </w:r>
      <w:r w:rsidR="00641D57" w:rsidRPr="00641D57">
        <w:rPr>
          <w:rFonts w:ascii="Times New Roman" w:hAnsi="Times New Roman"/>
          <w:color w:val="00000A"/>
          <w:sz w:val="24"/>
          <w:szCs w:val="24"/>
          <w:lang w:eastAsia="zh-CN"/>
        </w:rPr>
        <w:t>des professionnels du bâtiment et de la maîtrise d’œuvre en matière de rénovation énergétique des bâtiments</w:t>
      </w:r>
      <w:r w:rsidR="009278AF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(</w:t>
      </w:r>
      <w:r w:rsidR="00EC10A5">
        <w:rPr>
          <w:rFonts w:ascii="Times New Roman" w:hAnsi="Times New Roman"/>
          <w:color w:val="00000A"/>
          <w:sz w:val="24"/>
          <w:szCs w:val="24"/>
          <w:lang w:eastAsia="zh-CN"/>
        </w:rPr>
        <w:t>axe porté par l’</w:t>
      </w:r>
      <w:r w:rsidR="00EC10A5" w:rsidRPr="00641D57">
        <w:rPr>
          <w:rFonts w:ascii="Times New Roman" w:hAnsi="Times New Roman"/>
          <w:color w:val="00000A"/>
          <w:sz w:val="24"/>
          <w:szCs w:val="24"/>
          <w:lang w:eastAsia="zh-CN"/>
        </w:rPr>
        <w:t>ATEE)</w:t>
      </w:r>
      <w:r w:rsidR="006F403F">
        <w:rPr>
          <w:rFonts w:ascii="Times New Roman" w:hAnsi="Times New Roman"/>
          <w:color w:val="00000A"/>
          <w:sz w:val="24"/>
          <w:szCs w:val="24"/>
          <w:lang w:eastAsia="zh-CN"/>
        </w:rPr>
        <w:t>.</w:t>
      </w:r>
    </w:p>
    <w:p w14:paraId="02A2DAC0" w14:textId="77777777" w:rsidR="006F403F" w:rsidRPr="00641D57" w:rsidRDefault="006F403F" w:rsidP="006F403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14:paraId="03DE8D65" w14:textId="10E24AC2" w:rsidR="006D1990" w:rsidRDefault="005B7963" w:rsidP="005B7963">
      <w:pPr>
        <w:autoSpaceDE w:val="0"/>
        <w:jc w:val="both"/>
      </w:pPr>
      <w:r w:rsidRPr="005B796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3. </w:t>
      </w:r>
      <w:r w:rsidR="009278AF" w:rsidRPr="005B796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Favoriser l’intégration </w:t>
      </w:r>
      <w:r w:rsidR="00641D57" w:rsidRPr="005B796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approfondie </w:t>
      </w:r>
      <w:r w:rsidR="00DF3EA0" w:rsidRPr="005B7963">
        <w:rPr>
          <w:rFonts w:ascii="Times New Roman" w:hAnsi="Times New Roman"/>
          <w:color w:val="00000A"/>
          <w:sz w:val="24"/>
          <w:szCs w:val="24"/>
          <w:lang w:eastAsia="zh-CN"/>
        </w:rPr>
        <w:t>des différents axes du</w:t>
      </w:r>
      <w:r w:rsidR="00641D57" w:rsidRPr="005B796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programme dans l’écosystème national</w:t>
      </w:r>
      <w:r w:rsidR="00DF3EA0" w:rsidRPr="005B796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de la formation continue des enseignants et formateurs</w:t>
      </w:r>
      <w:r w:rsidR="009278AF" w:rsidRPr="005B796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(axe </w:t>
      </w:r>
      <w:proofErr w:type="spellStart"/>
      <w:r w:rsidR="009278AF" w:rsidRPr="005B7963">
        <w:rPr>
          <w:rFonts w:ascii="Times New Roman" w:hAnsi="Times New Roman"/>
          <w:color w:val="00000A"/>
          <w:sz w:val="24"/>
          <w:szCs w:val="24"/>
          <w:lang w:eastAsia="zh-CN"/>
        </w:rPr>
        <w:t>co-porté</w:t>
      </w:r>
      <w:proofErr w:type="spellEnd"/>
      <w:r w:rsidR="009278AF" w:rsidRPr="005B7963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par l’AQC et l’ATEE)</w:t>
      </w:r>
      <w:r w:rsidR="00641D57" w:rsidRPr="005B7963">
        <w:rPr>
          <w:rFonts w:ascii="Times New Roman" w:hAnsi="Times New Roman"/>
          <w:color w:val="00000A"/>
          <w:sz w:val="24"/>
          <w:szCs w:val="24"/>
          <w:lang w:eastAsia="zh-CN"/>
        </w:rPr>
        <w:t>.</w:t>
      </w:r>
    </w:p>
    <w:p w14:paraId="58DE4EF3" w14:textId="41606837" w:rsidR="00230B97" w:rsidRPr="00230B97" w:rsidRDefault="00230B97" w:rsidP="005B7963">
      <w:pPr>
        <w:spacing w:before="240"/>
        <w:jc w:val="both"/>
        <w:outlineLvl w:val="0"/>
        <w:rPr>
          <w:rFonts w:ascii="Times New Roman" w:hAnsi="Times New Roman"/>
          <w:b/>
          <w:bCs/>
          <w:color w:val="00000A"/>
          <w:sz w:val="24"/>
          <w:szCs w:val="24"/>
        </w:rPr>
      </w:pPr>
      <w:bookmarkStart w:id="4" w:name="_Hlk193296189"/>
      <w:r w:rsidRPr="00230B97"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 xml:space="preserve">3. Conditions </w:t>
      </w:r>
      <w:bookmarkEnd w:id="4"/>
      <w:r w:rsidRPr="00230B97"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>pour la délivrance de certificats</w:t>
      </w:r>
    </w:p>
    <w:p w14:paraId="648095F2" w14:textId="6C1456E0" w:rsidR="00230B97" w:rsidRDefault="00230B97" w:rsidP="00230B97">
      <w:pPr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230B97">
        <w:rPr>
          <w:rFonts w:ascii="Times New Roman" w:hAnsi="Times New Roman"/>
          <w:color w:val="00000A"/>
          <w:sz w:val="24"/>
          <w:szCs w:val="24"/>
          <w:lang w:eastAsia="zh-CN"/>
        </w:rPr>
        <w:t>La contribution au programme ouvre droit à la délivrance de certificats d'économies d'énergie pour les versements effectués à compter de l'entrée en vigueur du présent arrêté et</w:t>
      </w:r>
      <w:r w:rsidR="00801D3C" w:rsidRPr="00801D3C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801D3C" w:rsidRPr="00A5719C">
        <w:rPr>
          <w:rFonts w:ascii="Times New Roman" w:hAnsi="Times New Roman"/>
          <w:color w:val="00000A"/>
          <w:sz w:val="24"/>
          <w:szCs w:val="24"/>
          <w:lang w:eastAsia="zh-CN"/>
        </w:rPr>
        <w:t>pour une durée de trois ans à compter de la date de publication du présent arrêté</w:t>
      </w:r>
      <w:r w:rsidRPr="00230B97">
        <w:rPr>
          <w:rFonts w:ascii="Times New Roman" w:hAnsi="Times New Roman"/>
          <w:color w:val="00000A"/>
          <w:sz w:val="24"/>
          <w:szCs w:val="24"/>
          <w:lang w:eastAsia="zh-CN"/>
        </w:rPr>
        <w:t>, dans les conditions prévues par l'arrêté du 4 septembre 2014 fixant la liste des éléments d'une demande de certificats d'économies d'énergie et les documents à archiver par le demandeur, et conformément à la convention signée entre l'</w:t>
      </w:r>
      <w:r w:rsidR="00FC6F8B">
        <w:rPr>
          <w:rFonts w:ascii="Times New Roman" w:hAnsi="Times New Roman"/>
          <w:color w:val="00000A"/>
          <w:sz w:val="24"/>
          <w:szCs w:val="24"/>
          <w:lang w:eastAsia="zh-CN"/>
        </w:rPr>
        <w:t>É</w:t>
      </w:r>
      <w:r w:rsidRPr="00230B97">
        <w:rPr>
          <w:rFonts w:ascii="Times New Roman" w:hAnsi="Times New Roman"/>
          <w:color w:val="00000A"/>
          <w:sz w:val="24"/>
          <w:szCs w:val="24"/>
          <w:lang w:eastAsia="zh-CN"/>
        </w:rPr>
        <w:t xml:space="preserve">tat, </w:t>
      </w:r>
      <w:r w:rsidR="0039109A">
        <w:rPr>
          <w:rFonts w:ascii="Times New Roman" w:hAnsi="Times New Roman"/>
          <w:color w:val="00000A"/>
          <w:sz w:val="24"/>
          <w:szCs w:val="24"/>
          <w:lang w:eastAsia="zh-CN"/>
        </w:rPr>
        <w:t xml:space="preserve">les </w:t>
      </w:r>
      <w:proofErr w:type="spellStart"/>
      <w:r w:rsidR="0039109A">
        <w:rPr>
          <w:rFonts w:ascii="Times New Roman" w:hAnsi="Times New Roman"/>
          <w:color w:val="00000A"/>
          <w:sz w:val="24"/>
          <w:szCs w:val="24"/>
          <w:lang w:eastAsia="zh-CN"/>
        </w:rPr>
        <w:t>co-porteurs</w:t>
      </w:r>
      <w:proofErr w:type="spellEnd"/>
      <w:r w:rsidRPr="00230B97">
        <w:rPr>
          <w:rFonts w:ascii="Times New Roman" w:hAnsi="Times New Roman"/>
          <w:color w:val="00000A"/>
          <w:sz w:val="24"/>
          <w:szCs w:val="24"/>
          <w:lang w:eastAsia="zh-CN"/>
        </w:rPr>
        <w:t>, et les autres parties concernées.</w:t>
      </w:r>
      <w:r w:rsidR="00A5719C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</w:p>
    <w:p w14:paraId="12ACE715" w14:textId="1C888525" w:rsidR="00A5719C" w:rsidRDefault="00A5719C" w:rsidP="00A5719C">
      <w:pPr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Ces versements sont effectués par les personnes mentionnées au 1° de l’article L. 221-7 du code de l’énergie ou par toute personne qui s’est vu déléguer une obligation d’économie</w:t>
      </w:r>
      <w:r w:rsidR="0039109A">
        <w:rPr>
          <w:rFonts w:ascii="Times New Roman" w:hAnsi="Times New Roman"/>
          <w:color w:val="00000A"/>
          <w:sz w:val="24"/>
          <w:szCs w:val="24"/>
          <w:lang w:eastAsia="zh-CN"/>
        </w:rPr>
        <w:t>s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d’énergie dans les conditions de l’article R. 221-6 du même code, sélectionnées dans des conditions définies par l’appel à financeurs rédigé par le porteur du programme.   </w:t>
      </w:r>
      <w:r>
        <w:rPr>
          <w:rFonts w:ascii="Arial" w:hAnsi="Arial" w:cs="Arial"/>
          <w:b/>
          <w:bCs/>
          <w:color w:val="4A5E81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</w:p>
    <w:p w14:paraId="798855B0" w14:textId="44D1CE2C" w:rsidR="00180225" w:rsidRDefault="00A5719C" w:rsidP="00BF5599">
      <w:pPr>
        <w:jc w:val="both"/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Les versements effectués dans le cadre de ce programme n’excèdent pas </w:t>
      </w:r>
      <w:r w:rsidR="00D27292">
        <w:rPr>
          <w:rFonts w:ascii="Times New Roman" w:hAnsi="Times New Roman"/>
          <w:color w:val="00000A"/>
          <w:sz w:val="24"/>
          <w:szCs w:val="24"/>
          <w:lang w:eastAsia="zh-CN"/>
        </w:rPr>
        <w:t>37,61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millions d’euros</w:t>
      </w:r>
      <w:r w:rsidRPr="00A5719C">
        <w:rPr>
          <w:rFonts w:ascii="Times New Roman" w:hAnsi="Times New Roman"/>
          <w:color w:val="00000A"/>
          <w:sz w:val="24"/>
          <w:szCs w:val="24"/>
          <w:lang w:eastAsia="zh-CN"/>
        </w:rPr>
        <w:t>.</w:t>
      </w:r>
      <w:r w:rsidR="00180225" w:rsidRPr="00180225">
        <w:t xml:space="preserve"> </w:t>
      </w:r>
    </w:p>
    <w:p w14:paraId="362D491C" w14:textId="77777777" w:rsidR="00180225" w:rsidRDefault="00180225" w:rsidP="00180225">
      <w:pPr>
        <w:pStyle w:val="Paragraphedeliste"/>
        <w:ind w:left="0"/>
        <w:jc w:val="both"/>
      </w:pPr>
    </w:p>
    <w:p w14:paraId="2BEF7722" w14:textId="77777777" w:rsidR="00FB4F7F" w:rsidRPr="00230B97" w:rsidRDefault="00FB4F7F" w:rsidP="00AC4906">
      <w:pPr>
        <w:widowControl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sectPr w:rsidR="00FB4F7F" w:rsidRPr="00230B9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FCB4" w14:textId="77777777" w:rsidR="008763A0" w:rsidRDefault="008763A0" w:rsidP="008763A0">
      <w:pPr>
        <w:spacing w:after="0" w:line="240" w:lineRule="auto"/>
      </w:pPr>
      <w:r>
        <w:separator/>
      </w:r>
    </w:p>
  </w:endnote>
  <w:endnote w:type="continuationSeparator" w:id="0">
    <w:p w14:paraId="7FD47B1F" w14:textId="77777777" w:rsidR="008763A0" w:rsidRDefault="008763A0" w:rsidP="0087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48BF" w14:textId="77777777" w:rsidR="008763A0" w:rsidRDefault="008763A0" w:rsidP="008763A0">
      <w:pPr>
        <w:spacing w:after="0" w:line="240" w:lineRule="auto"/>
      </w:pPr>
      <w:r>
        <w:separator/>
      </w:r>
    </w:p>
  </w:footnote>
  <w:footnote w:type="continuationSeparator" w:id="0">
    <w:p w14:paraId="350D702B" w14:textId="77777777" w:rsidR="008763A0" w:rsidRDefault="008763A0" w:rsidP="0087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BB26" w14:textId="251C3353" w:rsidR="008763A0" w:rsidRDefault="00683C8E">
    <w:pPr>
      <w:pStyle w:val="En-tte"/>
    </w:pPr>
    <w:r>
      <w:rPr>
        <w:noProof/>
      </w:rPr>
      <w:pict w14:anchorId="5CA44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01876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36A5" w14:textId="7A788535" w:rsidR="008763A0" w:rsidRDefault="00683C8E">
    <w:pPr>
      <w:pStyle w:val="En-tte"/>
    </w:pPr>
    <w:r>
      <w:rPr>
        <w:noProof/>
      </w:rPr>
      <w:pict w14:anchorId="43E9C6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01877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18A3" w14:textId="046DDD05" w:rsidR="008763A0" w:rsidRDefault="00683C8E">
    <w:pPr>
      <w:pStyle w:val="En-tte"/>
    </w:pPr>
    <w:r>
      <w:rPr>
        <w:noProof/>
      </w:rPr>
      <w:pict w14:anchorId="72BAD4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01875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3C44"/>
    <w:multiLevelType w:val="hybridMultilevel"/>
    <w:tmpl w:val="670E2582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E42729"/>
    <w:multiLevelType w:val="multilevel"/>
    <w:tmpl w:val="023E55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9F5FEA"/>
    <w:multiLevelType w:val="hybridMultilevel"/>
    <w:tmpl w:val="50821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A4787"/>
    <w:multiLevelType w:val="hybridMultilevel"/>
    <w:tmpl w:val="A2D42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72E5B"/>
    <w:multiLevelType w:val="hybridMultilevel"/>
    <w:tmpl w:val="4CF84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80CD5"/>
    <w:multiLevelType w:val="hybridMultilevel"/>
    <w:tmpl w:val="F6EA0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06"/>
    <w:rsid w:val="00032A31"/>
    <w:rsid w:val="00064694"/>
    <w:rsid w:val="00065CF6"/>
    <w:rsid w:val="000A3C17"/>
    <w:rsid w:val="000C30BA"/>
    <w:rsid w:val="0017165F"/>
    <w:rsid w:val="00180225"/>
    <w:rsid w:val="001A6486"/>
    <w:rsid w:val="0020463C"/>
    <w:rsid w:val="00230B97"/>
    <w:rsid w:val="00254D69"/>
    <w:rsid w:val="003070F9"/>
    <w:rsid w:val="00346772"/>
    <w:rsid w:val="0039109A"/>
    <w:rsid w:val="003B5184"/>
    <w:rsid w:val="003D62EB"/>
    <w:rsid w:val="003E673B"/>
    <w:rsid w:val="00404990"/>
    <w:rsid w:val="00410156"/>
    <w:rsid w:val="0045650B"/>
    <w:rsid w:val="00493F88"/>
    <w:rsid w:val="004C5D77"/>
    <w:rsid w:val="00523B7D"/>
    <w:rsid w:val="00545341"/>
    <w:rsid w:val="005721C8"/>
    <w:rsid w:val="00580C8B"/>
    <w:rsid w:val="00592C19"/>
    <w:rsid w:val="005B7963"/>
    <w:rsid w:val="005D2540"/>
    <w:rsid w:val="005D36FF"/>
    <w:rsid w:val="005F0466"/>
    <w:rsid w:val="005F5D12"/>
    <w:rsid w:val="00602D82"/>
    <w:rsid w:val="00620032"/>
    <w:rsid w:val="006265BA"/>
    <w:rsid w:val="00641952"/>
    <w:rsid w:val="00641D57"/>
    <w:rsid w:val="00651175"/>
    <w:rsid w:val="00654923"/>
    <w:rsid w:val="006710BA"/>
    <w:rsid w:val="00683C8E"/>
    <w:rsid w:val="00687FEE"/>
    <w:rsid w:val="006B517B"/>
    <w:rsid w:val="006C1129"/>
    <w:rsid w:val="006D0C35"/>
    <w:rsid w:val="006D1990"/>
    <w:rsid w:val="006F403F"/>
    <w:rsid w:val="00703736"/>
    <w:rsid w:val="0071773D"/>
    <w:rsid w:val="00717774"/>
    <w:rsid w:val="007732CE"/>
    <w:rsid w:val="00776AAB"/>
    <w:rsid w:val="00781C30"/>
    <w:rsid w:val="007B6616"/>
    <w:rsid w:val="007E51E4"/>
    <w:rsid w:val="00801D3C"/>
    <w:rsid w:val="008117E4"/>
    <w:rsid w:val="008751EF"/>
    <w:rsid w:val="00875566"/>
    <w:rsid w:val="008763A0"/>
    <w:rsid w:val="00886288"/>
    <w:rsid w:val="008942D0"/>
    <w:rsid w:val="00897DFE"/>
    <w:rsid w:val="008E0EC3"/>
    <w:rsid w:val="008E6C03"/>
    <w:rsid w:val="00907A55"/>
    <w:rsid w:val="009218F3"/>
    <w:rsid w:val="009278AF"/>
    <w:rsid w:val="0095045D"/>
    <w:rsid w:val="009A6029"/>
    <w:rsid w:val="009D67E4"/>
    <w:rsid w:val="00A021DB"/>
    <w:rsid w:val="00A26013"/>
    <w:rsid w:val="00A559FD"/>
    <w:rsid w:val="00A5719C"/>
    <w:rsid w:val="00A70494"/>
    <w:rsid w:val="00A856AF"/>
    <w:rsid w:val="00AA092F"/>
    <w:rsid w:val="00AC4906"/>
    <w:rsid w:val="00AD6861"/>
    <w:rsid w:val="00AD6F68"/>
    <w:rsid w:val="00B078CD"/>
    <w:rsid w:val="00B32A75"/>
    <w:rsid w:val="00B34C1A"/>
    <w:rsid w:val="00B36334"/>
    <w:rsid w:val="00B64279"/>
    <w:rsid w:val="00B670BE"/>
    <w:rsid w:val="00BA2C10"/>
    <w:rsid w:val="00BD74E0"/>
    <w:rsid w:val="00BF5599"/>
    <w:rsid w:val="00CA309B"/>
    <w:rsid w:val="00CB4D99"/>
    <w:rsid w:val="00CC0605"/>
    <w:rsid w:val="00CC0FE9"/>
    <w:rsid w:val="00CC22F6"/>
    <w:rsid w:val="00CF5384"/>
    <w:rsid w:val="00D0435F"/>
    <w:rsid w:val="00D27292"/>
    <w:rsid w:val="00D3534B"/>
    <w:rsid w:val="00D4432C"/>
    <w:rsid w:val="00D5381B"/>
    <w:rsid w:val="00D56DAB"/>
    <w:rsid w:val="00D76BB6"/>
    <w:rsid w:val="00DA68CE"/>
    <w:rsid w:val="00DA72D5"/>
    <w:rsid w:val="00DC3CC7"/>
    <w:rsid w:val="00DD0A96"/>
    <w:rsid w:val="00DE7E95"/>
    <w:rsid w:val="00DF3EA0"/>
    <w:rsid w:val="00DF7D66"/>
    <w:rsid w:val="00E15875"/>
    <w:rsid w:val="00E17736"/>
    <w:rsid w:val="00E57030"/>
    <w:rsid w:val="00E9220F"/>
    <w:rsid w:val="00E96692"/>
    <w:rsid w:val="00EB46F0"/>
    <w:rsid w:val="00EC10A5"/>
    <w:rsid w:val="00EE682F"/>
    <w:rsid w:val="00EF54D0"/>
    <w:rsid w:val="00F02699"/>
    <w:rsid w:val="00F25411"/>
    <w:rsid w:val="00F77A33"/>
    <w:rsid w:val="00F94568"/>
    <w:rsid w:val="00FB484A"/>
    <w:rsid w:val="00FB4F7F"/>
    <w:rsid w:val="00FC6F8B"/>
    <w:rsid w:val="00FC6F96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F9A6E5"/>
  <w15:chartTrackingRefBased/>
  <w15:docId w15:val="{321356F4-25AA-454C-80CA-266DFB52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06"/>
    <w:pPr>
      <w:spacing w:line="25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uiPriority w:val="99"/>
    <w:rsid w:val="00AC4906"/>
    <w:pPr>
      <w:suppressLineNumbers/>
      <w:suppressAutoHyphens/>
      <w:spacing w:after="0" w:line="240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SNSignatureGauche">
    <w:name w:val="SNSignature Gauche"/>
    <w:basedOn w:val="Normal"/>
    <w:qFormat/>
    <w:rsid w:val="00AC4906"/>
    <w:pPr>
      <w:suppressAutoHyphens/>
      <w:spacing w:after="0" w:line="240" w:lineRule="auto"/>
      <w:ind w:firstLine="720"/>
    </w:pPr>
    <w:rPr>
      <w:rFonts w:ascii="Times New Roman" w:hAnsi="Times New Roman"/>
      <w:kern w:val="2"/>
      <w:sz w:val="24"/>
      <w:szCs w:val="24"/>
      <w:lang w:eastAsia="zh-CN"/>
    </w:rPr>
  </w:style>
  <w:style w:type="paragraph" w:styleId="Paragraphedeliste">
    <w:name w:val="List Paragraph"/>
    <w:aliases w:val="texte de base,Normal bullet 2,Bullet 1,damien 3,Paragraphe de liste 2,Puce focus,Contact,Paragraphe de liste2,Listes,Liste à puce - SC,Paragraphe de liste11,Paragraphe de liste num,Paragraphe 2"/>
    <w:basedOn w:val="Normal"/>
    <w:link w:val="ParagraphedelisteCar"/>
    <w:uiPriority w:val="34"/>
    <w:qFormat/>
    <w:rsid w:val="00AC4906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A"/>
      <w:sz w:val="24"/>
      <w:szCs w:val="24"/>
      <w:lang w:eastAsia="zh-CN"/>
    </w:rPr>
  </w:style>
  <w:style w:type="character" w:customStyle="1" w:styleId="ParagraphedelisteCar">
    <w:name w:val="Paragraphe de liste Car"/>
    <w:aliases w:val="texte de base Car,Normal bullet 2 Car,Bullet 1 Car,damien 3 Car,Paragraphe de liste 2 Car,Puce focus Car,Contact Car,Paragraphe de liste2 Car,Listes Car,Liste à puce - SC Car,Paragraphe de liste11 Car,Paragraphe de liste num Car"/>
    <w:link w:val="Paragraphedeliste"/>
    <w:uiPriority w:val="34"/>
    <w:qFormat/>
    <w:locked/>
    <w:rsid w:val="00AC490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SNDatearrt">
    <w:name w:val="SNDate arrêté"/>
    <w:basedOn w:val="Normal"/>
    <w:next w:val="Normal"/>
    <w:qFormat/>
    <w:rsid w:val="00AC4906"/>
    <w:pPr>
      <w:suppressAutoHyphens/>
      <w:spacing w:before="480" w:after="480" w:line="240" w:lineRule="auto"/>
      <w:ind w:firstLine="720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651175"/>
    <w:pPr>
      <w:suppressAutoHyphens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nhideWhenUsed/>
    <w:rsid w:val="00651175"/>
    <w:pPr>
      <w:suppressAutoHyphens/>
      <w:spacing w:after="0" w:line="240" w:lineRule="auto"/>
      <w:jc w:val="both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651175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qFormat/>
    <w:rsid w:val="00230B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22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22F6"/>
    <w:rPr>
      <w:rFonts w:ascii="Calibri" w:eastAsia="Times New Roman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22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22F6"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CF6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76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3A0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76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3A0"/>
    <w:rPr>
      <w:rFonts w:ascii="Calibri" w:eastAsia="Times New Roman" w:hAnsi="Calibri" w:cs="Times New Roman"/>
      <w:lang w:eastAsia="fr-FR"/>
    </w:rPr>
  </w:style>
  <w:style w:type="paragraph" w:styleId="Rvision">
    <w:name w:val="Revision"/>
    <w:hidden/>
    <w:uiPriority w:val="99"/>
    <w:semiHidden/>
    <w:rsid w:val="00BF5599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F88B-A3D5-4445-8D9A-6C4769A6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DGEC</dc:creator>
  <cp:keywords/>
  <dc:description/>
  <cp:lastModifiedBy>DIETRICH Marie</cp:lastModifiedBy>
  <cp:revision>10</cp:revision>
  <cp:lastPrinted>2025-08-04T13:30:00Z</cp:lastPrinted>
  <dcterms:created xsi:type="dcterms:W3CDTF">2026-03-31T14:29:00Z</dcterms:created>
  <dcterms:modified xsi:type="dcterms:W3CDTF">2026-04-17T13:43:00Z</dcterms:modified>
</cp:coreProperties>
</file>