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DC4BE9" w14:textId="79178534" w:rsidR="00792A32" w:rsidRDefault="00792A32" w:rsidP="00792A3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napToGrid w:val="0"/>
        <w:jc w:val="center"/>
      </w:pPr>
      <w:r>
        <w:rPr>
          <w:b/>
          <w:bCs/>
          <w:color w:val="000000"/>
          <w:sz w:val="22"/>
          <w:szCs w:val="22"/>
        </w:rPr>
        <w:t>Rapport de présentation</w:t>
      </w:r>
    </w:p>
    <w:p w14:paraId="145918EB" w14:textId="77777777" w:rsidR="00792A32" w:rsidRDefault="00792A32" w:rsidP="00792A3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napToGrid w:val="0"/>
        <w:jc w:val="center"/>
      </w:pPr>
      <w:r>
        <w:rPr>
          <w:b/>
          <w:bCs/>
          <w:color w:val="000000"/>
          <w:sz w:val="22"/>
          <w:szCs w:val="22"/>
        </w:rPr>
        <w:t>--</w:t>
      </w:r>
    </w:p>
    <w:p w14:paraId="609CEC83" w14:textId="33FA0D21" w:rsidR="0075113B" w:rsidRPr="0075113B" w:rsidRDefault="00792A32" w:rsidP="0075113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napToGrid w:val="0"/>
        <w:jc w:val="center"/>
        <w:rPr>
          <w:b/>
          <w:sz w:val="22"/>
          <w:szCs w:val="22"/>
        </w:rPr>
      </w:pPr>
      <w:r w:rsidRPr="00797FEF">
        <w:rPr>
          <w:b/>
          <w:sz w:val="22"/>
          <w:szCs w:val="22"/>
        </w:rPr>
        <w:t xml:space="preserve">Projet d’arrêté </w:t>
      </w:r>
      <w:r w:rsidR="00797FEF" w:rsidRPr="004E383A">
        <w:rPr>
          <w:b/>
          <w:sz w:val="22"/>
          <w:szCs w:val="22"/>
        </w:rPr>
        <w:t>portant création d</w:t>
      </w:r>
      <w:r w:rsidR="007F1010">
        <w:rPr>
          <w:b/>
          <w:sz w:val="22"/>
          <w:szCs w:val="22"/>
        </w:rPr>
        <w:t>’un</w:t>
      </w:r>
      <w:r w:rsidR="00F54121">
        <w:rPr>
          <w:b/>
          <w:sz w:val="22"/>
          <w:szCs w:val="22"/>
        </w:rPr>
        <w:t xml:space="preserve">e fiche </w:t>
      </w:r>
      <w:r w:rsidR="006A01F8">
        <w:rPr>
          <w:b/>
          <w:sz w:val="22"/>
          <w:szCs w:val="22"/>
        </w:rPr>
        <w:t xml:space="preserve">d’opération </w:t>
      </w:r>
      <w:r w:rsidR="00F54121">
        <w:rPr>
          <w:b/>
          <w:sz w:val="22"/>
          <w:szCs w:val="22"/>
        </w:rPr>
        <w:t xml:space="preserve">standardisée </w:t>
      </w:r>
      <w:r w:rsidRPr="004E383A">
        <w:rPr>
          <w:b/>
          <w:sz w:val="22"/>
          <w:szCs w:val="22"/>
        </w:rPr>
        <w:t>dans le cadre du dispositif des certificats d’économies d’én</w:t>
      </w:r>
      <w:r w:rsidRPr="00797FEF">
        <w:rPr>
          <w:b/>
          <w:bCs/>
          <w:color w:val="000000"/>
          <w:sz w:val="22"/>
          <w:szCs w:val="22"/>
        </w:rPr>
        <w:t>ergie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49948A2D" w14:textId="10D2F931" w:rsidR="008B0ED9" w:rsidRDefault="008B0ED9" w:rsidP="002D133D">
      <w:pPr>
        <w:suppressAutoHyphens w:val="0"/>
        <w:spacing w:line="198" w:lineRule="atLeast"/>
        <w:jc w:val="both"/>
      </w:pPr>
    </w:p>
    <w:p w14:paraId="6E44A004" w14:textId="7F3CF3DE" w:rsidR="00125E0A" w:rsidRPr="00426948" w:rsidRDefault="00426948" w:rsidP="00905BC4">
      <w:pPr>
        <w:suppressAutoHyphens w:val="0"/>
        <w:spacing w:line="198" w:lineRule="atLeast"/>
        <w:jc w:val="both"/>
      </w:pPr>
      <w:r>
        <w:t>Le Conseil d’Etat</w:t>
      </w:r>
      <w:r w:rsidRPr="00426948">
        <w:t xml:space="preserve"> </w:t>
      </w:r>
      <w:r>
        <w:t xml:space="preserve">a annulé par décision de </w:t>
      </w:r>
      <w:r w:rsidR="00D234AD">
        <w:t>25</w:t>
      </w:r>
      <w:r>
        <w:t xml:space="preserve"> juin 2024 l</w:t>
      </w:r>
      <w:r w:rsidRPr="00426948">
        <w:t xml:space="preserve">a fiche d’opération standardisée </w:t>
      </w:r>
      <w:r w:rsidR="009F7AA9" w:rsidRPr="00905BC4">
        <w:t xml:space="preserve">pour les trajets de </w:t>
      </w:r>
      <w:r w:rsidR="009F7AA9" w:rsidRPr="00D20E30">
        <w:rPr>
          <w:b/>
          <w:bCs/>
        </w:rPr>
        <w:t>covoiturage longue distance</w:t>
      </w:r>
      <w:r w:rsidR="009F7AA9" w:rsidRPr="00426948">
        <w:t xml:space="preserve"> </w:t>
      </w:r>
      <w:r w:rsidR="009F7AA9">
        <w:t>(</w:t>
      </w:r>
      <w:r w:rsidRPr="00426948">
        <w:t>TRA-SE-114</w:t>
      </w:r>
      <w:r w:rsidR="009F7AA9">
        <w:t>)</w:t>
      </w:r>
      <w:r>
        <w:t xml:space="preserve"> dans le cadre du dispositif des certificats d’économies d’énergie. </w:t>
      </w:r>
    </w:p>
    <w:p w14:paraId="269E3FAF" w14:textId="3F7666CF" w:rsidR="00CE6AF3" w:rsidRDefault="006A01F8" w:rsidP="00B0104B">
      <w:pPr>
        <w:suppressAutoHyphens w:val="0"/>
        <w:spacing w:line="198" w:lineRule="atLeast"/>
        <w:jc w:val="both"/>
      </w:pPr>
      <w:r>
        <w:t>En juillet dernier, un projet de</w:t>
      </w:r>
      <w:r w:rsidR="009F7AA9">
        <w:t xml:space="preserve"> nouvelle</w:t>
      </w:r>
      <w:r>
        <w:t xml:space="preserve"> fiche d’opération standardisée CEE </w:t>
      </w:r>
      <w:r w:rsidR="00905BC4">
        <w:t xml:space="preserve">a été </w:t>
      </w:r>
      <w:r w:rsidR="005D57C2">
        <w:t>soumis</w:t>
      </w:r>
      <w:r>
        <w:t xml:space="preserve"> à la consultation du </w:t>
      </w:r>
      <w:r w:rsidR="005D57C2">
        <w:t>Conseil supérieur de l’énergie (CSE)</w:t>
      </w:r>
      <w:r>
        <w:t xml:space="preserve"> et du public</w:t>
      </w:r>
      <w:r w:rsidR="00905BC4" w:rsidRPr="00905BC4">
        <w:t>.</w:t>
      </w:r>
      <w:r w:rsidR="00431E26">
        <w:t xml:space="preserve"> </w:t>
      </w:r>
      <w:r>
        <w:t>Elle était issue des travaux d’u</w:t>
      </w:r>
      <w:r w:rsidR="00905BC4">
        <w:t xml:space="preserve">n Groupe de Travail (GT) </w:t>
      </w:r>
      <w:r>
        <w:t>r</w:t>
      </w:r>
      <w:r w:rsidR="004B5572">
        <w:t xml:space="preserve">assemblant l’ATEE, l’ADEME, l’Etat, des obligés CEE et des opérateurs de covoiturage, </w:t>
      </w:r>
      <w:r>
        <w:t>qui</w:t>
      </w:r>
      <w:r w:rsidR="00905BC4" w:rsidRPr="00D20E30">
        <w:t xml:space="preserve"> s’est </w:t>
      </w:r>
      <w:r w:rsidR="004B5572" w:rsidRPr="00D20E30">
        <w:t xml:space="preserve">en particulier </w:t>
      </w:r>
      <w:r w:rsidR="00905BC4" w:rsidRPr="00D20E30">
        <w:t>assuré que chaque donn</w:t>
      </w:r>
      <w:r w:rsidR="00905BC4" w:rsidRPr="00D20E30">
        <w:rPr>
          <w:rFonts w:hint="eastAsia"/>
        </w:rPr>
        <w:t>é</w:t>
      </w:r>
      <w:r w:rsidR="00905BC4" w:rsidRPr="00D20E30">
        <w:t>e utilis</w:t>
      </w:r>
      <w:r w:rsidR="00905BC4" w:rsidRPr="00D20E30">
        <w:rPr>
          <w:rFonts w:hint="eastAsia"/>
        </w:rPr>
        <w:t>é</w:t>
      </w:r>
      <w:r w:rsidR="00905BC4" w:rsidRPr="00D20E30">
        <w:t xml:space="preserve">e soit </w:t>
      </w:r>
      <w:r w:rsidR="00426948">
        <w:t xml:space="preserve">bien </w:t>
      </w:r>
      <w:r w:rsidR="00905BC4" w:rsidRPr="00D20E30">
        <w:t>robuste, représentative et sourcée.</w:t>
      </w:r>
      <w:r w:rsidR="00905BC4" w:rsidRPr="006A01F8">
        <w:t xml:space="preserve"> </w:t>
      </w:r>
    </w:p>
    <w:p w14:paraId="16B1A556" w14:textId="77777777" w:rsidR="00E7159F" w:rsidRDefault="00E7159F" w:rsidP="00B0104B">
      <w:pPr>
        <w:suppressAutoHyphens w:val="0"/>
        <w:spacing w:line="198" w:lineRule="atLeast"/>
        <w:jc w:val="both"/>
      </w:pPr>
    </w:p>
    <w:p w14:paraId="2FE60638" w14:textId="3C52EED6" w:rsidR="006A01F8" w:rsidRDefault="00D234AD" w:rsidP="00B0104B">
      <w:pPr>
        <w:suppressAutoHyphens w:val="0"/>
        <w:spacing w:line="198" w:lineRule="atLeast"/>
        <w:jc w:val="both"/>
      </w:pPr>
      <w:r>
        <w:t>Le</w:t>
      </w:r>
      <w:r w:rsidR="00B0104B" w:rsidRPr="00B0104B">
        <w:t xml:space="preserve"> forfait </w:t>
      </w:r>
      <w:r>
        <w:t xml:space="preserve">proposé </w:t>
      </w:r>
      <w:r w:rsidR="00B0104B">
        <w:t>s’éleva</w:t>
      </w:r>
      <w:r>
        <w:t>i</w:t>
      </w:r>
      <w:r w:rsidR="00B0104B">
        <w:t xml:space="preserve">t à </w:t>
      </w:r>
      <w:r w:rsidR="00B0104B" w:rsidRPr="00B0104B">
        <w:rPr>
          <w:b/>
          <w:bCs/>
        </w:rPr>
        <w:t xml:space="preserve">2 600 </w:t>
      </w:r>
      <w:proofErr w:type="spellStart"/>
      <w:r w:rsidR="00B0104B" w:rsidRPr="00B0104B">
        <w:rPr>
          <w:b/>
          <w:bCs/>
        </w:rPr>
        <w:t>kWhc</w:t>
      </w:r>
      <w:proofErr w:type="spellEnd"/>
      <w:r w:rsidR="00B0104B">
        <w:rPr>
          <w:b/>
          <w:bCs/>
        </w:rPr>
        <w:t>,</w:t>
      </w:r>
      <w:r w:rsidR="00B0104B" w:rsidRPr="00B0104B">
        <w:t xml:space="preserve"> attribué pour l’inscription d’un nouveau conducteur sur une plateforme de covoiturage longue distance et </w:t>
      </w:r>
      <w:r>
        <w:t>effectuant</w:t>
      </w:r>
      <w:r w:rsidRPr="00B0104B">
        <w:t xml:space="preserve"> </w:t>
      </w:r>
      <w:r w:rsidR="00B0104B" w:rsidRPr="00B0104B">
        <w:t>un premier trajet</w:t>
      </w:r>
      <w:r>
        <w:t xml:space="preserve">. Il était </w:t>
      </w:r>
      <w:r w:rsidR="006A01F8">
        <w:t xml:space="preserve"> précis</w:t>
      </w:r>
      <w:r>
        <w:t>é</w:t>
      </w:r>
      <w:r w:rsidR="006A01F8">
        <w:t xml:space="preserve"> que </w:t>
      </w:r>
      <w:r w:rsidR="006A01F8" w:rsidRPr="00D317B0">
        <w:rPr>
          <w:b/>
          <w:bCs/>
        </w:rPr>
        <w:t xml:space="preserve">ce forfait </w:t>
      </w:r>
      <w:r w:rsidR="00B0104B" w:rsidRPr="00D317B0">
        <w:rPr>
          <w:b/>
          <w:bCs/>
        </w:rPr>
        <w:t xml:space="preserve">ne tenait compte </w:t>
      </w:r>
      <w:r w:rsidR="00A24946" w:rsidRPr="00D317B0">
        <w:rPr>
          <w:b/>
          <w:bCs/>
        </w:rPr>
        <w:t>que</w:t>
      </w:r>
      <w:r w:rsidR="00B0104B" w:rsidRPr="00D317B0">
        <w:rPr>
          <w:b/>
          <w:bCs/>
        </w:rPr>
        <w:t xml:space="preserve"> des trajets réalisés sur les plateformes de covoiturage (trajets intermédiés)</w:t>
      </w:r>
      <w:r w:rsidR="006A01F8" w:rsidRPr="00D317B0">
        <w:rPr>
          <w:b/>
          <w:bCs/>
        </w:rPr>
        <w:t>, et qu’il pourra</w:t>
      </w:r>
      <w:r w:rsidR="00CE6AF3" w:rsidRPr="00D317B0">
        <w:rPr>
          <w:b/>
          <w:bCs/>
        </w:rPr>
        <w:t>it</w:t>
      </w:r>
      <w:r w:rsidR="006A01F8" w:rsidRPr="00D317B0">
        <w:rPr>
          <w:b/>
          <w:bCs/>
        </w:rPr>
        <w:t xml:space="preserve"> être envisagé par la suite de réévaluer les données et le forfait associé</w:t>
      </w:r>
      <w:r w:rsidR="006A01F8">
        <w:t xml:space="preserve"> sur la base </w:t>
      </w:r>
      <w:r w:rsidR="006A01F8" w:rsidRPr="00051279">
        <w:t>de l’étude de l’ADEME</w:t>
      </w:r>
      <w:r>
        <w:t xml:space="preserve"> alors en cours,</w:t>
      </w:r>
      <w:r w:rsidR="006A01F8" w:rsidRPr="00051279">
        <w:t xml:space="preserve"> </w:t>
      </w:r>
      <w:r>
        <w:t>lorsque celle-ci</w:t>
      </w:r>
      <w:r w:rsidR="006A01F8" w:rsidRPr="00051279">
        <w:t xml:space="preserve"> sera</w:t>
      </w:r>
      <w:r w:rsidR="00D02599">
        <w:t>it</w:t>
      </w:r>
      <w:r w:rsidR="006A01F8" w:rsidRPr="00051279">
        <w:t xml:space="preserve"> disponible</w:t>
      </w:r>
      <w:r w:rsidR="006A01F8">
        <w:t xml:space="preserve">, et </w:t>
      </w:r>
      <w:r w:rsidR="006A01F8" w:rsidRPr="00987DE9">
        <w:t>d’éventuelles études d’approfondissement sur la compréhension et la quantification du covoiturage informel</w:t>
      </w:r>
      <w:r w:rsidR="00A851C6">
        <w:t xml:space="preserve"> (trajets induits par les plateformes, </w:t>
      </w:r>
      <w:r w:rsidR="00A851C6" w:rsidRPr="00A851C6">
        <w:t>grâce à la mise en relation des couples conducteur/passagers</w:t>
      </w:r>
      <w:r w:rsidR="00A851C6">
        <w:t>, mais réalisés en dehors</w:t>
      </w:r>
      <w:r>
        <w:t xml:space="preserve"> de celles-ci</w:t>
      </w:r>
      <w:r w:rsidR="00A851C6">
        <w:t>)</w:t>
      </w:r>
      <w:r w:rsidR="00B0104B" w:rsidRPr="00B0104B">
        <w:t xml:space="preserve">. </w:t>
      </w:r>
    </w:p>
    <w:p w14:paraId="7CACCAEC" w14:textId="77777777" w:rsidR="006A01F8" w:rsidRDefault="006A01F8" w:rsidP="00B0104B">
      <w:pPr>
        <w:suppressAutoHyphens w:val="0"/>
        <w:spacing w:line="198" w:lineRule="atLeast"/>
        <w:jc w:val="both"/>
      </w:pPr>
    </w:p>
    <w:p w14:paraId="6A0FCCCB" w14:textId="3FC7DF89" w:rsidR="00361E41" w:rsidRDefault="003749BA" w:rsidP="00B0104B">
      <w:pPr>
        <w:suppressAutoHyphens w:val="0"/>
        <w:spacing w:line="198" w:lineRule="atLeast"/>
        <w:jc w:val="both"/>
      </w:pPr>
      <w:r>
        <w:t>L</w:t>
      </w:r>
      <w:r w:rsidR="005D57C2">
        <w:t>e groupe de travail</w:t>
      </w:r>
      <w:r w:rsidR="00B0104B">
        <w:t xml:space="preserve"> a </w:t>
      </w:r>
      <w:r w:rsidR="006A01F8">
        <w:t xml:space="preserve">poursuivi ses travaux en créant </w:t>
      </w:r>
      <w:r w:rsidR="00B0104B">
        <w:t>un questionnaire à destination des utilisateurs des plateformes de covoiturage permettant de collecter les données manquantes sur les pr</w:t>
      </w:r>
      <w:r w:rsidR="005D57C2">
        <w:t>atiques de covoiturage informel</w:t>
      </w:r>
      <w:r w:rsidR="00B0104B">
        <w:t xml:space="preserve"> généré par les plateformes. Ce questionnaire a été relayé au cours de l’été </w:t>
      </w:r>
      <w:r w:rsidR="00D02599">
        <w:t xml:space="preserve">2024 </w:t>
      </w:r>
      <w:r w:rsidR="00B0104B">
        <w:t xml:space="preserve">par </w:t>
      </w:r>
      <w:r w:rsidR="00D234AD">
        <w:t xml:space="preserve">les sociétés </w:t>
      </w:r>
      <w:r w:rsidR="00B0104B">
        <w:t xml:space="preserve">BlaBlaCar et </w:t>
      </w:r>
      <w:proofErr w:type="spellStart"/>
      <w:r w:rsidR="00B0104B">
        <w:t>StadiumGo</w:t>
      </w:r>
      <w:proofErr w:type="spellEnd"/>
      <w:r w:rsidR="00B0104B">
        <w:t xml:space="preserve"> et a obtenu plus de 24 000 réponses</w:t>
      </w:r>
      <w:r w:rsidR="00361E41">
        <w:t>.</w:t>
      </w:r>
    </w:p>
    <w:p w14:paraId="2364DCFA" w14:textId="77777777" w:rsidR="005D57C2" w:rsidRDefault="005D57C2" w:rsidP="00B0104B">
      <w:pPr>
        <w:suppressAutoHyphens w:val="0"/>
        <w:spacing w:line="198" w:lineRule="atLeast"/>
        <w:jc w:val="both"/>
      </w:pPr>
    </w:p>
    <w:p w14:paraId="42BE31F9" w14:textId="56F47FCE" w:rsidR="00B0104B" w:rsidRPr="00FC0144" w:rsidRDefault="00361E41" w:rsidP="00B0104B">
      <w:pPr>
        <w:suppressAutoHyphens w:val="0"/>
        <w:spacing w:line="198" w:lineRule="atLeast"/>
        <w:jc w:val="both"/>
      </w:pPr>
      <w:r>
        <w:t xml:space="preserve">De plus, un second questionnaire concernant le report modal des utilisateurs a été </w:t>
      </w:r>
      <w:r w:rsidR="00E7159F">
        <w:t>envoyé</w:t>
      </w:r>
      <w:r w:rsidR="00D02599">
        <w:t>,</w:t>
      </w:r>
      <w:r>
        <w:t xml:space="preserve"> dans le but de renforcer les données collectées dans le cadre de l’étude </w:t>
      </w:r>
      <w:r w:rsidR="005D57C2">
        <w:t>de l’</w:t>
      </w:r>
      <w:r>
        <w:t>A</w:t>
      </w:r>
      <w:r w:rsidR="00D02599">
        <w:t>DEME</w:t>
      </w:r>
      <w:r>
        <w:t xml:space="preserve"> sur le covoiturage de 2024. </w:t>
      </w:r>
      <w:r w:rsidR="00D234AD">
        <w:t>P</w:t>
      </w:r>
      <w:r w:rsidR="006A7BD8">
        <w:t>rès de 11 000 retours</w:t>
      </w:r>
      <w:r w:rsidR="005D57C2">
        <w:t xml:space="preserve"> </w:t>
      </w:r>
      <w:r w:rsidR="00D234AD">
        <w:t xml:space="preserve">ont été reçus </w:t>
      </w:r>
      <w:r w:rsidR="005D57C2">
        <w:t>pour ce second questionnaire</w:t>
      </w:r>
      <w:r w:rsidR="006A7BD8">
        <w:t xml:space="preserve">, </w:t>
      </w:r>
      <w:r w:rsidR="00324F36">
        <w:t xml:space="preserve">permettant </w:t>
      </w:r>
      <w:r w:rsidR="006A7BD8">
        <w:t xml:space="preserve">alors </w:t>
      </w:r>
      <w:r w:rsidR="00324F36">
        <w:t xml:space="preserve">de </w:t>
      </w:r>
      <w:r w:rsidR="00324F36" w:rsidRPr="00D317B0">
        <w:rPr>
          <w:b/>
          <w:bCs/>
        </w:rPr>
        <w:t>proposer un nouveau forfait tenant compte à la fois du covoiturage intermédié</w:t>
      </w:r>
      <w:r w:rsidR="006A7BD8">
        <w:rPr>
          <w:b/>
          <w:bCs/>
        </w:rPr>
        <w:t xml:space="preserve"> et</w:t>
      </w:r>
      <w:r w:rsidR="00324F36" w:rsidRPr="00D317B0">
        <w:rPr>
          <w:b/>
          <w:bCs/>
        </w:rPr>
        <w:t xml:space="preserve"> du covoiturage informel</w:t>
      </w:r>
      <w:r w:rsidR="006A7BD8">
        <w:rPr>
          <w:b/>
          <w:bCs/>
        </w:rPr>
        <w:t xml:space="preserve">, avec des données de report modal </w:t>
      </w:r>
      <w:r w:rsidR="00D02599">
        <w:rPr>
          <w:b/>
          <w:bCs/>
        </w:rPr>
        <w:t>mises à jour</w:t>
      </w:r>
      <w:r w:rsidR="00324F36" w:rsidRPr="00D317B0">
        <w:rPr>
          <w:b/>
          <w:bCs/>
        </w:rPr>
        <w:t xml:space="preserve">. Ce forfait s’élève à </w:t>
      </w:r>
      <w:r w:rsidR="00324F36" w:rsidRPr="00CE6AF3">
        <w:rPr>
          <w:b/>
          <w:bCs/>
        </w:rPr>
        <w:t>7 </w:t>
      </w:r>
      <w:r w:rsidR="00964AD1">
        <w:rPr>
          <w:b/>
          <w:bCs/>
        </w:rPr>
        <w:t>1</w:t>
      </w:r>
      <w:r w:rsidR="00324F36" w:rsidRPr="00CE6AF3">
        <w:rPr>
          <w:b/>
          <w:bCs/>
        </w:rPr>
        <w:t xml:space="preserve">00 </w:t>
      </w:r>
      <w:proofErr w:type="spellStart"/>
      <w:r w:rsidR="00324F36" w:rsidRPr="00CE6AF3">
        <w:rPr>
          <w:b/>
          <w:bCs/>
        </w:rPr>
        <w:t>kWhc</w:t>
      </w:r>
      <w:proofErr w:type="spellEnd"/>
      <w:r w:rsidR="00324F36">
        <w:rPr>
          <w:b/>
          <w:bCs/>
        </w:rPr>
        <w:t xml:space="preserve">, </w:t>
      </w:r>
      <w:r w:rsidR="00324F36" w:rsidRPr="00324F36">
        <w:t>pour une durée de vie de 8 ans</w:t>
      </w:r>
      <w:r w:rsidR="00CE6AF3">
        <w:t>, et est validé par l’ADEM</w:t>
      </w:r>
      <w:r w:rsidR="00D02599">
        <w:t>E</w:t>
      </w:r>
      <w:r w:rsidR="00C25756">
        <w:t xml:space="preserve"> et l’ensemble du GT </w:t>
      </w:r>
      <w:r w:rsidR="00D234AD">
        <w:t>de l’</w:t>
      </w:r>
      <w:r w:rsidR="00C25756">
        <w:t>ATEE</w:t>
      </w:r>
      <w:r w:rsidR="00324F36">
        <w:t>.</w:t>
      </w:r>
    </w:p>
    <w:p w14:paraId="16F86C66" w14:textId="158FF49A" w:rsidR="00B0104B" w:rsidRPr="00B0104B" w:rsidRDefault="00B0104B" w:rsidP="00B0104B">
      <w:pPr>
        <w:suppressAutoHyphens w:val="0"/>
        <w:spacing w:line="198" w:lineRule="atLeast"/>
        <w:jc w:val="both"/>
      </w:pPr>
    </w:p>
    <w:p w14:paraId="53F071F6" w14:textId="7CD7D59A" w:rsidR="004D115B" w:rsidRDefault="005D57C2" w:rsidP="004D115B">
      <w:pPr>
        <w:suppressAutoHyphens w:val="0"/>
        <w:spacing w:line="198" w:lineRule="atLeast"/>
        <w:jc w:val="both"/>
      </w:pPr>
      <w:r>
        <w:t>Ce nouveau forfait</w:t>
      </w:r>
      <w:r w:rsidR="00324F36">
        <w:t xml:space="preserve"> </w:t>
      </w:r>
      <w:r w:rsidR="00905BC4" w:rsidRPr="00905BC4">
        <w:t>repose sur les données suivantes</w:t>
      </w:r>
      <w:r w:rsidR="00AA39C1">
        <w:t>, majoritairement issues</w:t>
      </w:r>
      <w:r w:rsidR="005E6BF7">
        <w:t xml:space="preserve"> de</w:t>
      </w:r>
      <w:r w:rsidR="00AA39C1">
        <w:t xml:space="preserve"> données de la plateforme BlaBlaCar</w:t>
      </w:r>
      <w:r w:rsidR="004B5572">
        <w:t xml:space="preserve">, </w:t>
      </w:r>
      <w:r w:rsidR="00324F36">
        <w:t>l’</w:t>
      </w:r>
      <w:r w:rsidR="00FC1B47">
        <w:t xml:space="preserve">étude réalisée dans le cadre de </w:t>
      </w:r>
      <w:r w:rsidR="00D234AD">
        <w:t xml:space="preserve">sa </w:t>
      </w:r>
      <w:r w:rsidR="00FC1B47">
        <w:t>Déclaration de Performance Extra-Financière (DPEF)</w:t>
      </w:r>
      <w:r w:rsidR="00905BC4" w:rsidRPr="00905BC4">
        <w:t> </w:t>
      </w:r>
      <w:r w:rsidR="004D115B">
        <w:t>de 2023</w:t>
      </w:r>
      <w:r w:rsidR="00CC238D">
        <w:t xml:space="preserve"> </w:t>
      </w:r>
      <w:r w:rsidR="00324F36">
        <w:t>et l</w:t>
      </w:r>
      <w:r w:rsidR="00964AD1">
        <w:t xml:space="preserve">es deux </w:t>
      </w:r>
      <w:r w:rsidR="00324F36">
        <w:t>enquête</w:t>
      </w:r>
      <w:r w:rsidR="00964AD1">
        <w:t>s complémentaires de</w:t>
      </w:r>
      <w:r w:rsidR="00324F36">
        <w:t xml:space="preserve"> 2024 concernant les pr</w:t>
      </w:r>
      <w:r>
        <w:t xml:space="preserve">atiques de covoiturage informel </w:t>
      </w:r>
      <w:r w:rsidR="00964AD1">
        <w:t xml:space="preserve">et le report modal </w:t>
      </w:r>
      <w:r w:rsidR="00C020F3">
        <w:t xml:space="preserve">des utilisateurs de covoiturage, </w:t>
      </w:r>
      <w:r w:rsidR="00CE6AF3">
        <w:t>examinée</w:t>
      </w:r>
      <w:r w:rsidR="00964AD1">
        <w:t>s</w:t>
      </w:r>
      <w:r w:rsidR="00CE6AF3">
        <w:t xml:space="preserve"> par l’ADEME et l’ATEE </w:t>
      </w:r>
      <w:r w:rsidR="00324F36">
        <w:t>:</w:t>
      </w:r>
    </w:p>
    <w:p w14:paraId="1C17668F" w14:textId="74ABF714" w:rsidR="00F54121" w:rsidRPr="004D115B" w:rsidRDefault="00B74C84" w:rsidP="004D115B">
      <w:pPr>
        <w:pStyle w:val="Paragraphedeliste"/>
        <w:numPr>
          <w:ilvl w:val="0"/>
          <w:numId w:val="27"/>
        </w:numPr>
        <w:suppressAutoHyphens w:val="0"/>
        <w:rPr>
          <w:sz w:val="24"/>
          <w:szCs w:val="32"/>
        </w:rPr>
      </w:pPr>
      <w:r w:rsidRPr="004D115B">
        <w:rPr>
          <w:sz w:val="24"/>
          <w:szCs w:val="32"/>
        </w:rPr>
        <w:t xml:space="preserve">Le </w:t>
      </w:r>
      <w:r w:rsidR="00F54121" w:rsidRPr="004D115B">
        <w:rPr>
          <w:sz w:val="24"/>
          <w:szCs w:val="32"/>
        </w:rPr>
        <w:t>taux d</w:t>
      </w:r>
      <w:r w:rsidR="00F54121" w:rsidRPr="004D115B">
        <w:rPr>
          <w:rFonts w:hint="eastAsia"/>
          <w:sz w:val="24"/>
          <w:szCs w:val="32"/>
        </w:rPr>
        <w:t>’</w:t>
      </w:r>
      <w:r w:rsidR="00F54121" w:rsidRPr="004D115B">
        <w:rPr>
          <w:sz w:val="24"/>
          <w:szCs w:val="32"/>
        </w:rPr>
        <w:t>occupation moyen par covoiturage</w:t>
      </w:r>
    </w:p>
    <w:p w14:paraId="48C63E7C" w14:textId="045D4D34" w:rsidR="00F54121" w:rsidRPr="004D115B" w:rsidRDefault="00B74C84" w:rsidP="004D115B">
      <w:pPr>
        <w:pStyle w:val="Paragraphedeliste"/>
        <w:numPr>
          <w:ilvl w:val="0"/>
          <w:numId w:val="27"/>
        </w:numPr>
        <w:suppressAutoHyphens w:val="0"/>
        <w:rPr>
          <w:sz w:val="24"/>
          <w:szCs w:val="32"/>
        </w:rPr>
      </w:pPr>
      <w:r w:rsidRPr="004D115B">
        <w:rPr>
          <w:sz w:val="24"/>
          <w:szCs w:val="32"/>
        </w:rPr>
        <w:t>La</w:t>
      </w:r>
      <w:r w:rsidR="00F54121" w:rsidRPr="004D115B">
        <w:rPr>
          <w:sz w:val="24"/>
          <w:szCs w:val="32"/>
        </w:rPr>
        <w:t xml:space="preserve"> consommation d</w:t>
      </w:r>
      <w:r w:rsidR="00F54121" w:rsidRPr="004D115B">
        <w:rPr>
          <w:rFonts w:hint="eastAsia"/>
          <w:sz w:val="24"/>
          <w:szCs w:val="32"/>
        </w:rPr>
        <w:t>’é</w:t>
      </w:r>
      <w:r w:rsidR="00F54121" w:rsidRPr="004D115B">
        <w:rPr>
          <w:sz w:val="24"/>
          <w:szCs w:val="32"/>
        </w:rPr>
        <w:t xml:space="preserve">nergie </w:t>
      </w:r>
      <w:r w:rsidRPr="004D115B">
        <w:rPr>
          <w:sz w:val="24"/>
          <w:szCs w:val="32"/>
        </w:rPr>
        <w:t xml:space="preserve">moyenne des alternatives au covoiturage, qui tient compte du </w:t>
      </w:r>
      <w:r w:rsidR="004D115B" w:rsidRPr="004D115B">
        <w:rPr>
          <w:sz w:val="24"/>
          <w:szCs w:val="32"/>
        </w:rPr>
        <w:t>r</w:t>
      </w:r>
      <w:r w:rsidRPr="004D115B">
        <w:rPr>
          <w:sz w:val="24"/>
          <w:szCs w:val="32"/>
        </w:rPr>
        <w:t>eport modal pour chaque alternative au covoiturage</w:t>
      </w:r>
    </w:p>
    <w:p w14:paraId="4C12F8E4" w14:textId="763A35F5" w:rsidR="004D115B" w:rsidRPr="004D115B" w:rsidRDefault="00B74C84" w:rsidP="004D115B">
      <w:pPr>
        <w:pStyle w:val="Paragraphedeliste"/>
        <w:numPr>
          <w:ilvl w:val="0"/>
          <w:numId w:val="27"/>
        </w:numPr>
        <w:suppressAutoHyphens w:val="0"/>
        <w:rPr>
          <w:sz w:val="24"/>
          <w:szCs w:val="32"/>
        </w:rPr>
      </w:pPr>
      <w:r w:rsidRPr="004D115B">
        <w:rPr>
          <w:sz w:val="24"/>
          <w:szCs w:val="32"/>
        </w:rPr>
        <w:t>La consommation d</w:t>
      </w:r>
      <w:r w:rsidRPr="004D115B">
        <w:rPr>
          <w:rFonts w:hint="eastAsia"/>
          <w:sz w:val="24"/>
          <w:szCs w:val="32"/>
        </w:rPr>
        <w:t>’é</w:t>
      </w:r>
      <w:r w:rsidRPr="004D115B">
        <w:rPr>
          <w:sz w:val="24"/>
          <w:szCs w:val="32"/>
        </w:rPr>
        <w:t xml:space="preserve">nergie moyenne du covoiturage </w:t>
      </w:r>
    </w:p>
    <w:p w14:paraId="60DB49A2" w14:textId="729BD68F" w:rsidR="00F54121" w:rsidRPr="004D115B" w:rsidRDefault="00B74C84" w:rsidP="004D115B">
      <w:pPr>
        <w:pStyle w:val="Paragraphedeliste"/>
        <w:numPr>
          <w:ilvl w:val="0"/>
          <w:numId w:val="27"/>
        </w:numPr>
        <w:suppressAutoHyphens w:val="0"/>
        <w:rPr>
          <w:sz w:val="24"/>
          <w:szCs w:val="32"/>
        </w:rPr>
      </w:pPr>
      <w:r w:rsidRPr="004D115B">
        <w:rPr>
          <w:sz w:val="24"/>
          <w:szCs w:val="32"/>
        </w:rPr>
        <w:t>La</w:t>
      </w:r>
      <w:r w:rsidR="00F54121" w:rsidRPr="004D115B">
        <w:rPr>
          <w:sz w:val="24"/>
          <w:szCs w:val="32"/>
        </w:rPr>
        <w:t xml:space="preserve"> distance moyenne d</w:t>
      </w:r>
      <w:r w:rsidR="00F54121" w:rsidRPr="004D115B">
        <w:rPr>
          <w:rFonts w:hint="eastAsia"/>
          <w:sz w:val="24"/>
          <w:szCs w:val="32"/>
        </w:rPr>
        <w:t>‘</w:t>
      </w:r>
      <w:r w:rsidR="00F54121" w:rsidRPr="004D115B">
        <w:rPr>
          <w:sz w:val="24"/>
          <w:szCs w:val="32"/>
        </w:rPr>
        <w:t xml:space="preserve">un trajet de covoiturage </w:t>
      </w:r>
      <w:r w:rsidRPr="004D115B">
        <w:rPr>
          <w:sz w:val="24"/>
          <w:szCs w:val="32"/>
        </w:rPr>
        <w:t xml:space="preserve">de </w:t>
      </w:r>
      <w:r w:rsidR="00F54121" w:rsidRPr="004D115B">
        <w:rPr>
          <w:sz w:val="24"/>
          <w:szCs w:val="32"/>
        </w:rPr>
        <w:t>longue</w:t>
      </w:r>
      <w:r w:rsidRPr="004D115B">
        <w:rPr>
          <w:sz w:val="24"/>
          <w:szCs w:val="32"/>
        </w:rPr>
        <w:t xml:space="preserve"> </w:t>
      </w:r>
      <w:r w:rsidR="00F54121" w:rsidRPr="004D115B">
        <w:rPr>
          <w:sz w:val="24"/>
          <w:szCs w:val="32"/>
        </w:rPr>
        <w:t xml:space="preserve">distance </w:t>
      </w:r>
      <w:r w:rsidRPr="004D115B">
        <w:rPr>
          <w:sz w:val="24"/>
          <w:szCs w:val="32"/>
        </w:rPr>
        <w:t>(&gt;80km)</w:t>
      </w:r>
    </w:p>
    <w:p w14:paraId="57A4BA98" w14:textId="581DF42C" w:rsidR="00F54121" w:rsidRPr="004D115B" w:rsidRDefault="00B74C84" w:rsidP="004D115B">
      <w:pPr>
        <w:pStyle w:val="Paragraphedeliste"/>
        <w:numPr>
          <w:ilvl w:val="0"/>
          <w:numId w:val="27"/>
        </w:numPr>
        <w:suppressAutoHyphens w:val="0"/>
        <w:rPr>
          <w:sz w:val="24"/>
          <w:szCs w:val="32"/>
        </w:rPr>
      </w:pPr>
      <w:r w:rsidRPr="004D115B">
        <w:rPr>
          <w:sz w:val="24"/>
          <w:szCs w:val="32"/>
        </w:rPr>
        <w:t>Le</w:t>
      </w:r>
      <w:r w:rsidR="00F54121" w:rsidRPr="004D115B">
        <w:rPr>
          <w:sz w:val="24"/>
          <w:szCs w:val="32"/>
        </w:rPr>
        <w:t xml:space="preserve"> nombre moyen de trajets covoitur</w:t>
      </w:r>
      <w:r w:rsidR="00F54121" w:rsidRPr="004D115B">
        <w:rPr>
          <w:rFonts w:hint="eastAsia"/>
          <w:sz w:val="24"/>
          <w:szCs w:val="32"/>
        </w:rPr>
        <w:t>é</w:t>
      </w:r>
      <w:r w:rsidR="00F54121" w:rsidRPr="004D115B">
        <w:rPr>
          <w:sz w:val="24"/>
          <w:szCs w:val="32"/>
        </w:rPr>
        <w:t>s par an et par conducteur</w:t>
      </w:r>
    </w:p>
    <w:p w14:paraId="659744E4" w14:textId="237C3FFE" w:rsidR="00F54121" w:rsidRPr="004D115B" w:rsidRDefault="00B74C84" w:rsidP="004D115B">
      <w:pPr>
        <w:pStyle w:val="Paragraphedeliste"/>
        <w:numPr>
          <w:ilvl w:val="0"/>
          <w:numId w:val="27"/>
        </w:numPr>
        <w:suppressAutoHyphens w:val="0"/>
        <w:rPr>
          <w:sz w:val="24"/>
          <w:szCs w:val="32"/>
        </w:rPr>
      </w:pPr>
      <w:r w:rsidRPr="004D115B">
        <w:rPr>
          <w:sz w:val="24"/>
          <w:szCs w:val="32"/>
        </w:rPr>
        <w:t>Le</w:t>
      </w:r>
      <w:r w:rsidR="00F54121" w:rsidRPr="004D115B">
        <w:rPr>
          <w:sz w:val="24"/>
          <w:szCs w:val="32"/>
        </w:rPr>
        <w:t xml:space="preserve"> taux de fid</w:t>
      </w:r>
      <w:r w:rsidR="00F54121" w:rsidRPr="004D115B">
        <w:rPr>
          <w:rFonts w:hint="eastAsia"/>
          <w:sz w:val="24"/>
          <w:szCs w:val="32"/>
        </w:rPr>
        <w:t>é</w:t>
      </w:r>
      <w:r w:rsidR="00F54121" w:rsidRPr="004D115B">
        <w:rPr>
          <w:sz w:val="24"/>
          <w:szCs w:val="32"/>
        </w:rPr>
        <w:t>lit</w:t>
      </w:r>
      <w:r w:rsidR="00F54121" w:rsidRPr="004D115B">
        <w:rPr>
          <w:rFonts w:hint="eastAsia"/>
          <w:sz w:val="24"/>
          <w:szCs w:val="32"/>
        </w:rPr>
        <w:t>é</w:t>
      </w:r>
      <w:r w:rsidR="00F54121" w:rsidRPr="004D115B">
        <w:rPr>
          <w:sz w:val="24"/>
          <w:szCs w:val="32"/>
        </w:rPr>
        <w:t xml:space="preserve"> conducteur moyen constat</w:t>
      </w:r>
      <w:r w:rsidR="00F54121" w:rsidRPr="004D115B">
        <w:rPr>
          <w:rFonts w:hint="eastAsia"/>
          <w:sz w:val="24"/>
          <w:szCs w:val="32"/>
        </w:rPr>
        <w:t>é</w:t>
      </w:r>
      <w:r w:rsidR="00F54121" w:rsidRPr="004D115B">
        <w:rPr>
          <w:sz w:val="24"/>
          <w:szCs w:val="32"/>
        </w:rPr>
        <w:t xml:space="preserve"> sur la dur</w:t>
      </w:r>
      <w:r w:rsidR="00F54121" w:rsidRPr="004D115B">
        <w:rPr>
          <w:rFonts w:hint="eastAsia"/>
          <w:sz w:val="24"/>
          <w:szCs w:val="32"/>
        </w:rPr>
        <w:t>é</w:t>
      </w:r>
      <w:r w:rsidR="00F54121" w:rsidRPr="004D115B">
        <w:rPr>
          <w:sz w:val="24"/>
          <w:szCs w:val="32"/>
        </w:rPr>
        <w:t>e de vie de la fiche</w:t>
      </w:r>
    </w:p>
    <w:p w14:paraId="773AB957" w14:textId="79E85DCA" w:rsidR="00F54121" w:rsidRPr="004D115B" w:rsidRDefault="00B74C84" w:rsidP="004D115B">
      <w:pPr>
        <w:pStyle w:val="Paragraphedeliste"/>
        <w:numPr>
          <w:ilvl w:val="0"/>
          <w:numId w:val="27"/>
        </w:numPr>
        <w:suppressAutoHyphens w:val="0"/>
        <w:rPr>
          <w:sz w:val="24"/>
          <w:szCs w:val="32"/>
        </w:rPr>
      </w:pPr>
      <w:r w:rsidRPr="004D115B">
        <w:rPr>
          <w:sz w:val="24"/>
          <w:szCs w:val="32"/>
        </w:rPr>
        <w:lastRenderedPageBreak/>
        <w:t>La</w:t>
      </w:r>
      <w:r w:rsidR="00F54121" w:rsidRPr="004D115B">
        <w:rPr>
          <w:sz w:val="24"/>
          <w:szCs w:val="32"/>
        </w:rPr>
        <w:t xml:space="preserve"> dur</w:t>
      </w:r>
      <w:r w:rsidR="00F54121" w:rsidRPr="004D115B">
        <w:rPr>
          <w:rFonts w:hint="eastAsia"/>
          <w:sz w:val="24"/>
          <w:szCs w:val="32"/>
        </w:rPr>
        <w:t>é</w:t>
      </w:r>
      <w:r w:rsidR="00F54121" w:rsidRPr="004D115B">
        <w:rPr>
          <w:sz w:val="24"/>
          <w:szCs w:val="32"/>
        </w:rPr>
        <w:t>e de vie de l</w:t>
      </w:r>
      <w:r w:rsidR="00F54121" w:rsidRPr="004D115B">
        <w:rPr>
          <w:rFonts w:hint="eastAsia"/>
          <w:sz w:val="24"/>
          <w:szCs w:val="32"/>
        </w:rPr>
        <w:t>’</w:t>
      </w:r>
      <w:r w:rsidR="00F54121" w:rsidRPr="004D115B">
        <w:rPr>
          <w:sz w:val="24"/>
          <w:szCs w:val="32"/>
        </w:rPr>
        <w:t>op</w:t>
      </w:r>
      <w:r w:rsidR="00F54121" w:rsidRPr="004D115B">
        <w:rPr>
          <w:rFonts w:hint="eastAsia"/>
          <w:sz w:val="24"/>
          <w:szCs w:val="32"/>
        </w:rPr>
        <w:t>é</w:t>
      </w:r>
      <w:r w:rsidR="00F54121" w:rsidRPr="004D115B">
        <w:rPr>
          <w:sz w:val="24"/>
          <w:szCs w:val="32"/>
        </w:rPr>
        <w:t xml:space="preserve">ration, </w:t>
      </w:r>
      <w:r w:rsidRPr="004D115B">
        <w:rPr>
          <w:sz w:val="24"/>
          <w:szCs w:val="32"/>
        </w:rPr>
        <w:t xml:space="preserve">à partir de laquelle </w:t>
      </w:r>
      <w:r w:rsidR="00F54121" w:rsidRPr="004D115B">
        <w:rPr>
          <w:sz w:val="24"/>
          <w:szCs w:val="32"/>
        </w:rPr>
        <w:t>la dur</w:t>
      </w:r>
      <w:r w:rsidR="00F54121" w:rsidRPr="004D115B">
        <w:rPr>
          <w:rFonts w:hint="eastAsia"/>
          <w:sz w:val="24"/>
          <w:szCs w:val="32"/>
        </w:rPr>
        <w:t>é</w:t>
      </w:r>
      <w:r w:rsidR="00F54121" w:rsidRPr="004D115B">
        <w:rPr>
          <w:sz w:val="24"/>
          <w:szCs w:val="32"/>
        </w:rPr>
        <w:t>e de vie actualis</w:t>
      </w:r>
      <w:r w:rsidR="00F54121" w:rsidRPr="004D115B">
        <w:rPr>
          <w:rFonts w:hint="eastAsia"/>
          <w:sz w:val="24"/>
          <w:szCs w:val="32"/>
        </w:rPr>
        <w:t>é</w:t>
      </w:r>
      <w:r w:rsidR="00F54121" w:rsidRPr="004D115B">
        <w:rPr>
          <w:sz w:val="24"/>
          <w:szCs w:val="32"/>
        </w:rPr>
        <w:t>e</w:t>
      </w:r>
      <w:r w:rsidRPr="004D115B">
        <w:rPr>
          <w:sz w:val="24"/>
          <w:szCs w:val="32"/>
        </w:rPr>
        <w:t xml:space="preserve"> est calculée</w:t>
      </w:r>
    </w:p>
    <w:p w14:paraId="6036D347" w14:textId="018D86A4" w:rsidR="00F54121" w:rsidRDefault="00CC238D" w:rsidP="007F1010">
      <w:pPr>
        <w:suppressAutoHyphens w:val="0"/>
        <w:spacing w:line="198" w:lineRule="atLeast"/>
        <w:jc w:val="both"/>
      </w:pPr>
      <w:r>
        <w:t xml:space="preserve">Ces éléments sont détaillés dans la </w:t>
      </w:r>
      <w:r w:rsidRPr="00D317B0">
        <w:rPr>
          <w:b/>
          <w:bCs/>
        </w:rPr>
        <w:t>fiche de calcul</w:t>
      </w:r>
      <w:r>
        <w:t>.</w:t>
      </w:r>
    </w:p>
    <w:p w14:paraId="40450522" w14:textId="77777777" w:rsidR="001810F5" w:rsidRDefault="001810F5" w:rsidP="007F1010">
      <w:pPr>
        <w:suppressAutoHyphens w:val="0"/>
        <w:spacing w:line="198" w:lineRule="atLeast"/>
        <w:jc w:val="both"/>
      </w:pPr>
    </w:p>
    <w:p w14:paraId="09C777F7" w14:textId="0A782D81" w:rsidR="00CE6AF3" w:rsidRDefault="00324F36" w:rsidP="00051279">
      <w:pPr>
        <w:suppressAutoHyphens w:val="0"/>
        <w:spacing w:line="198" w:lineRule="atLeast"/>
        <w:jc w:val="both"/>
      </w:pPr>
      <w:r>
        <w:t>Ce nouveau projet de fiche</w:t>
      </w:r>
      <w:r w:rsidR="00D20E30">
        <w:rPr>
          <w:bCs/>
        </w:rPr>
        <w:t xml:space="preserve"> permet de </w:t>
      </w:r>
      <w:r w:rsidR="00D234AD">
        <w:rPr>
          <w:bCs/>
        </w:rPr>
        <w:t xml:space="preserve">créer à nouveau </w:t>
      </w:r>
      <w:r w:rsidR="00D20E30">
        <w:rPr>
          <w:bCs/>
        </w:rPr>
        <w:t xml:space="preserve">une </w:t>
      </w:r>
      <w:r w:rsidR="00D20E30" w:rsidRPr="00431E26">
        <w:t>fiche</w:t>
      </w:r>
      <w:r w:rsidR="00D20E30">
        <w:t xml:space="preserve"> d’opération standardisée</w:t>
      </w:r>
      <w:r w:rsidR="00D20E30" w:rsidRPr="00431E26">
        <w:t xml:space="preserve"> </w:t>
      </w:r>
      <w:r w:rsidR="00D234AD">
        <w:t xml:space="preserve">incitant au covoiturage de longue distance respectant </w:t>
      </w:r>
      <w:r w:rsidR="00D20E30" w:rsidRPr="00431E26">
        <w:t>la décision du Conseil d'Etat</w:t>
      </w:r>
      <w:r w:rsidR="006A01F8">
        <w:t xml:space="preserve"> </w:t>
      </w:r>
      <w:r w:rsidR="00D234AD">
        <w:t>précitée</w:t>
      </w:r>
      <w:r w:rsidR="00D20E30">
        <w:t>.</w:t>
      </w:r>
      <w:r w:rsidR="005E6BF7">
        <w:t xml:space="preserve"> </w:t>
      </w:r>
    </w:p>
    <w:p w14:paraId="1849BB78" w14:textId="77777777" w:rsidR="00CE6AF3" w:rsidRDefault="00CE6AF3" w:rsidP="00051279">
      <w:pPr>
        <w:suppressAutoHyphens w:val="0"/>
        <w:spacing w:line="198" w:lineRule="atLeast"/>
        <w:jc w:val="both"/>
      </w:pPr>
    </w:p>
    <w:p w14:paraId="2F6786B8" w14:textId="3152089E" w:rsidR="00FC0144" w:rsidRDefault="00CC238D" w:rsidP="00FC0144">
      <w:pPr>
        <w:suppressAutoHyphens w:val="0"/>
        <w:spacing w:line="198" w:lineRule="atLeast"/>
        <w:jc w:val="both"/>
      </w:pPr>
      <w:r>
        <w:rPr>
          <w:bCs/>
        </w:rPr>
        <w:t xml:space="preserve">Les conditions d’éligibilité de la fiche pourront </w:t>
      </w:r>
      <w:r w:rsidR="00964AD1">
        <w:rPr>
          <w:bCs/>
        </w:rPr>
        <w:t>par la suite</w:t>
      </w:r>
      <w:r>
        <w:rPr>
          <w:bCs/>
        </w:rPr>
        <w:t xml:space="preserve"> être revues </w:t>
      </w:r>
      <w:r w:rsidR="00A67608">
        <w:rPr>
          <w:bCs/>
        </w:rPr>
        <w:t>pour</w:t>
      </w:r>
      <w:r>
        <w:rPr>
          <w:bCs/>
        </w:rPr>
        <w:t xml:space="preserve"> assurer un meilleur suivi des cohortes des plateformes de covoiturage</w:t>
      </w:r>
      <w:r w:rsidR="00964AD1">
        <w:rPr>
          <w:bCs/>
        </w:rPr>
        <w:t xml:space="preserve"> (création d’un </w:t>
      </w:r>
      <w:r w:rsidR="00D234AD">
        <w:rPr>
          <w:bCs/>
        </w:rPr>
        <w:t xml:space="preserve">registre de preuve de covoiturage ou </w:t>
      </w:r>
      <w:r w:rsidR="00964AD1">
        <w:rPr>
          <w:bCs/>
        </w:rPr>
        <w:t>RPC pour le covoiturage longue distance par exemple).</w:t>
      </w:r>
    </w:p>
    <w:p w14:paraId="49171490" w14:textId="0C94014D" w:rsidR="00FC1B47" w:rsidRPr="00640BE3" w:rsidRDefault="00FC1B47" w:rsidP="00783E3B">
      <w:pPr>
        <w:suppressAutoHyphens w:val="0"/>
        <w:spacing w:line="198" w:lineRule="atLeast"/>
        <w:jc w:val="both"/>
        <w:rPr>
          <w:bCs/>
        </w:rPr>
      </w:pPr>
    </w:p>
    <w:sectPr w:rsidR="00FC1B47" w:rsidRPr="00640BE3">
      <w:footerReference w:type="default" r:id="rId8"/>
      <w:footerReference w:type="firs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A1AE" w14:textId="77777777" w:rsidR="00085E84" w:rsidRDefault="00085E84">
      <w:r>
        <w:separator/>
      </w:r>
    </w:p>
  </w:endnote>
  <w:endnote w:type="continuationSeparator" w:id="0">
    <w:p w14:paraId="4C3150AF" w14:textId="77777777" w:rsidR="00085E84" w:rsidRDefault="000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1054" w14:textId="5CEB4409" w:rsidR="00EC7C28" w:rsidRDefault="00EC7C28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5D57C2">
      <w:rPr>
        <w:noProof/>
      </w:rPr>
      <w:t>2</w:t>
    </w:r>
    <w:r>
      <w:fldChar w:fldCharType="end"/>
    </w:r>
  </w:p>
  <w:p w14:paraId="02603DE3" w14:textId="77777777" w:rsidR="00EC7C28" w:rsidRDefault="00EC7C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9CEF" w14:textId="77777777" w:rsidR="00EC7C28" w:rsidRDefault="00EC7C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6186" w14:textId="77777777" w:rsidR="00085E84" w:rsidRDefault="00085E84">
      <w:r>
        <w:separator/>
      </w:r>
    </w:p>
  </w:footnote>
  <w:footnote w:type="continuationSeparator" w:id="0">
    <w:p w14:paraId="3F5DB1ED" w14:textId="77777777" w:rsidR="00085E84" w:rsidRDefault="00085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eastAsia="fr-FR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1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2060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4322919"/>
    <w:multiLevelType w:val="hybridMultilevel"/>
    <w:tmpl w:val="EC0898FE"/>
    <w:lvl w:ilvl="0" w:tplc="4E70B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F467A"/>
    <w:multiLevelType w:val="hybridMultilevel"/>
    <w:tmpl w:val="E0E07018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  <w:lang w:eastAsia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44A0B"/>
    <w:multiLevelType w:val="hybridMultilevel"/>
    <w:tmpl w:val="7910C4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402FB"/>
    <w:multiLevelType w:val="hybridMultilevel"/>
    <w:tmpl w:val="EFA2B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14BA"/>
    <w:multiLevelType w:val="hybridMultilevel"/>
    <w:tmpl w:val="24D2087C"/>
    <w:lvl w:ilvl="0" w:tplc="DBBA005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D4F2688"/>
    <w:multiLevelType w:val="hybridMultilevel"/>
    <w:tmpl w:val="DDF48D7E"/>
    <w:lvl w:ilvl="0" w:tplc="4D7E4574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C8067B"/>
    <w:multiLevelType w:val="hybridMultilevel"/>
    <w:tmpl w:val="8CD2D680"/>
    <w:lvl w:ilvl="0" w:tplc="84F42E1E">
      <w:start w:val="1"/>
      <w:numFmt w:val="decimal"/>
      <w:lvlText w:val="%1)"/>
      <w:lvlJc w:val="left"/>
      <w:pPr>
        <w:ind w:left="720" w:hanging="360"/>
      </w:pPr>
      <w:rPr>
        <w:b/>
        <w:color w:val="C45911" w:themeColor="accent2" w:themeShade="BF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738AA"/>
    <w:multiLevelType w:val="hybridMultilevel"/>
    <w:tmpl w:val="024EE4F8"/>
    <w:lvl w:ilvl="0" w:tplc="87A08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6D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C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27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04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AD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EE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4F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E7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661B4"/>
    <w:multiLevelType w:val="hybridMultilevel"/>
    <w:tmpl w:val="131ED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C7220"/>
    <w:multiLevelType w:val="hybridMultilevel"/>
    <w:tmpl w:val="2E1E9FB0"/>
    <w:lvl w:ilvl="0" w:tplc="BE38F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6B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86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23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0B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41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C6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0E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F3A6C"/>
    <w:multiLevelType w:val="multilevel"/>
    <w:tmpl w:val="F4921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41778D"/>
    <w:multiLevelType w:val="hybridMultilevel"/>
    <w:tmpl w:val="6D561666"/>
    <w:lvl w:ilvl="0" w:tplc="253CD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4725D"/>
    <w:multiLevelType w:val="hybridMultilevel"/>
    <w:tmpl w:val="0420B12A"/>
    <w:lvl w:ilvl="0" w:tplc="AA400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E33D2"/>
    <w:multiLevelType w:val="hybridMultilevel"/>
    <w:tmpl w:val="8C820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55B40"/>
    <w:multiLevelType w:val="hybridMultilevel"/>
    <w:tmpl w:val="B2760DD8"/>
    <w:lvl w:ilvl="0" w:tplc="7638B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02B7A"/>
    <w:multiLevelType w:val="hybridMultilevel"/>
    <w:tmpl w:val="48B6D568"/>
    <w:lvl w:ilvl="0" w:tplc="7774120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208E73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50243E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AAE18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2DEF20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2D871B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C2DA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24C1D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F92B7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0F462A"/>
    <w:multiLevelType w:val="hybridMultilevel"/>
    <w:tmpl w:val="2696D0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04B9B"/>
    <w:multiLevelType w:val="hybridMultilevel"/>
    <w:tmpl w:val="407E76E6"/>
    <w:lvl w:ilvl="0" w:tplc="F7E4AF6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E666F"/>
    <w:multiLevelType w:val="hybridMultilevel"/>
    <w:tmpl w:val="D20A40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F79CC"/>
    <w:multiLevelType w:val="hybridMultilevel"/>
    <w:tmpl w:val="92009B08"/>
    <w:lvl w:ilvl="0" w:tplc="046E4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88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6A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E2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E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AA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EF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4C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69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F5B72"/>
    <w:multiLevelType w:val="hybridMultilevel"/>
    <w:tmpl w:val="C4BC1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3"/>
  </w:num>
  <w:num w:numId="10">
    <w:abstractNumId w:val="9"/>
  </w:num>
  <w:num w:numId="11">
    <w:abstractNumId w:val="24"/>
  </w:num>
  <w:num w:numId="12">
    <w:abstractNumId w:val="21"/>
  </w:num>
  <w:num w:numId="13">
    <w:abstractNumId w:val="16"/>
  </w:num>
  <w:num w:numId="14">
    <w:abstractNumId w:val="22"/>
  </w:num>
  <w:num w:numId="15">
    <w:abstractNumId w:val="14"/>
  </w:num>
  <w:num w:numId="16">
    <w:abstractNumId w:val="26"/>
  </w:num>
  <w:num w:numId="17">
    <w:abstractNumId w:val="25"/>
  </w:num>
  <w:num w:numId="18">
    <w:abstractNumId w:val="18"/>
  </w:num>
  <w:num w:numId="19">
    <w:abstractNumId w:val="11"/>
  </w:num>
  <w:num w:numId="20">
    <w:abstractNumId w:val="12"/>
  </w:num>
  <w:num w:numId="21">
    <w:abstractNumId w:val="23"/>
  </w:num>
  <w:num w:numId="22">
    <w:abstractNumId w:val="19"/>
  </w:num>
  <w:num w:numId="23">
    <w:abstractNumId w:val="10"/>
  </w:num>
  <w:num w:numId="24">
    <w:abstractNumId w:val="15"/>
  </w:num>
  <w:num w:numId="25">
    <w:abstractNumId w:val="20"/>
  </w:num>
  <w:num w:numId="26">
    <w:abstractNumId w:val="27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12"/>
    <w:rsid w:val="00001B0E"/>
    <w:rsid w:val="00042686"/>
    <w:rsid w:val="00051279"/>
    <w:rsid w:val="00085E84"/>
    <w:rsid w:val="000A1048"/>
    <w:rsid w:val="001027EB"/>
    <w:rsid w:val="001028A2"/>
    <w:rsid w:val="00103D41"/>
    <w:rsid w:val="00114C7D"/>
    <w:rsid w:val="001151EB"/>
    <w:rsid w:val="00115BFB"/>
    <w:rsid w:val="00125E0A"/>
    <w:rsid w:val="00127F74"/>
    <w:rsid w:val="00144E02"/>
    <w:rsid w:val="0016351E"/>
    <w:rsid w:val="001810F5"/>
    <w:rsid w:val="001B02E5"/>
    <w:rsid w:val="001C2E41"/>
    <w:rsid w:val="001D5830"/>
    <w:rsid w:val="001E2A9F"/>
    <w:rsid w:val="001E6D19"/>
    <w:rsid w:val="001F59A1"/>
    <w:rsid w:val="001F6192"/>
    <w:rsid w:val="00233708"/>
    <w:rsid w:val="0026030D"/>
    <w:rsid w:val="00264879"/>
    <w:rsid w:val="00286BF2"/>
    <w:rsid w:val="002D133D"/>
    <w:rsid w:val="002D7730"/>
    <w:rsid w:val="003169F7"/>
    <w:rsid w:val="00324F36"/>
    <w:rsid w:val="00330A73"/>
    <w:rsid w:val="003355F1"/>
    <w:rsid w:val="00361E41"/>
    <w:rsid w:val="00362221"/>
    <w:rsid w:val="00362692"/>
    <w:rsid w:val="00362CEF"/>
    <w:rsid w:val="003749BA"/>
    <w:rsid w:val="003853AE"/>
    <w:rsid w:val="00395D62"/>
    <w:rsid w:val="00410ACD"/>
    <w:rsid w:val="0042352C"/>
    <w:rsid w:val="00426948"/>
    <w:rsid w:val="00431E26"/>
    <w:rsid w:val="0046154E"/>
    <w:rsid w:val="00471776"/>
    <w:rsid w:val="004B5572"/>
    <w:rsid w:val="004D115B"/>
    <w:rsid w:val="004D3B15"/>
    <w:rsid w:val="004E383A"/>
    <w:rsid w:val="004E571F"/>
    <w:rsid w:val="005107B5"/>
    <w:rsid w:val="005153A9"/>
    <w:rsid w:val="0053056B"/>
    <w:rsid w:val="00534C72"/>
    <w:rsid w:val="0055588E"/>
    <w:rsid w:val="005615F7"/>
    <w:rsid w:val="005673EF"/>
    <w:rsid w:val="00582DED"/>
    <w:rsid w:val="00597476"/>
    <w:rsid w:val="005D344C"/>
    <w:rsid w:val="005D57C2"/>
    <w:rsid w:val="005D5AA9"/>
    <w:rsid w:val="005D7D86"/>
    <w:rsid w:val="005E0B45"/>
    <w:rsid w:val="005E6BF7"/>
    <w:rsid w:val="005F1317"/>
    <w:rsid w:val="005F2AC3"/>
    <w:rsid w:val="005F775E"/>
    <w:rsid w:val="00615423"/>
    <w:rsid w:val="00633BC5"/>
    <w:rsid w:val="00640BE3"/>
    <w:rsid w:val="006515B9"/>
    <w:rsid w:val="006A01F8"/>
    <w:rsid w:val="006A7BD8"/>
    <w:rsid w:val="006C2296"/>
    <w:rsid w:val="006C240E"/>
    <w:rsid w:val="007019F3"/>
    <w:rsid w:val="007052EA"/>
    <w:rsid w:val="00706B81"/>
    <w:rsid w:val="00713318"/>
    <w:rsid w:val="00722B52"/>
    <w:rsid w:val="00733206"/>
    <w:rsid w:val="0075113B"/>
    <w:rsid w:val="00783E3B"/>
    <w:rsid w:val="0078615E"/>
    <w:rsid w:val="00792A32"/>
    <w:rsid w:val="00797FEF"/>
    <w:rsid w:val="007C6709"/>
    <w:rsid w:val="007F1010"/>
    <w:rsid w:val="007F44ED"/>
    <w:rsid w:val="00802131"/>
    <w:rsid w:val="008235F3"/>
    <w:rsid w:val="0084363D"/>
    <w:rsid w:val="008506EE"/>
    <w:rsid w:val="00850D1E"/>
    <w:rsid w:val="00850F99"/>
    <w:rsid w:val="008615FF"/>
    <w:rsid w:val="00862E12"/>
    <w:rsid w:val="00896B27"/>
    <w:rsid w:val="008B0ED9"/>
    <w:rsid w:val="008D39DB"/>
    <w:rsid w:val="008D668D"/>
    <w:rsid w:val="008F404B"/>
    <w:rsid w:val="008F742E"/>
    <w:rsid w:val="00905BC4"/>
    <w:rsid w:val="00963932"/>
    <w:rsid w:val="00964AD1"/>
    <w:rsid w:val="009B68EA"/>
    <w:rsid w:val="009E7BAB"/>
    <w:rsid w:val="009F7AA9"/>
    <w:rsid w:val="00A226AB"/>
    <w:rsid w:val="00A24946"/>
    <w:rsid w:val="00A67608"/>
    <w:rsid w:val="00A83CCD"/>
    <w:rsid w:val="00A851C6"/>
    <w:rsid w:val="00A92F34"/>
    <w:rsid w:val="00AA39C1"/>
    <w:rsid w:val="00AA39E8"/>
    <w:rsid w:val="00AD037B"/>
    <w:rsid w:val="00AF77DF"/>
    <w:rsid w:val="00B0104B"/>
    <w:rsid w:val="00B6505A"/>
    <w:rsid w:val="00B71A57"/>
    <w:rsid w:val="00B74C84"/>
    <w:rsid w:val="00BA5221"/>
    <w:rsid w:val="00C020F3"/>
    <w:rsid w:val="00C23867"/>
    <w:rsid w:val="00C25756"/>
    <w:rsid w:val="00C36966"/>
    <w:rsid w:val="00C56BD2"/>
    <w:rsid w:val="00C6372D"/>
    <w:rsid w:val="00CC238D"/>
    <w:rsid w:val="00CE6AF3"/>
    <w:rsid w:val="00D02599"/>
    <w:rsid w:val="00D20E30"/>
    <w:rsid w:val="00D2246A"/>
    <w:rsid w:val="00D234AD"/>
    <w:rsid w:val="00D317B0"/>
    <w:rsid w:val="00DB64F6"/>
    <w:rsid w:val="00DF5BF3"/>
    <w:rsid w:val="00E165CE"/>
    <w:rsid w:val="00E30B1D"/>
    <w:rsid w:val="00E30F4F"/>
    <w:rsid w:val="00E46C41"/>
    <w:rsid w:val="00E50E53"/>
    <w:rsid w:val="00E7159F"/>
    <w:rsid w:val="00E87906"/>
    <w:rsid w:val="00E9092F"/>
    <w:rsid w:val="00EC7C28"/>
    <w:rsid w:val="00ED4BB1"/>
    <w:rsid w:val="00EF17E8"/>
    <w:rsid w:val="00F54121"/>
    <w:rsid w:val="00F61EBD"/>
    <w:rsid w:val="00FA0551"/>
    <w:rsid w:val="00FC0144"/>
    <w:rsid w:val="00FC0273"/>
    <w:rsid w:val="00F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A48A28"/>
  <w15:chartTrackingRefBased/>
  <w15:docId w15:val="{190F3F49-8A90-4A1E-8946-BE41F24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000000"/>
      <w:sz w:val="22"/>
      <w:szCs w:val="22"/>
      <w:lang w:eastAsia="fr-FR"/>
    </w:rPr>
  </w:style>
  <w:style w:type="character" w:customStyle="1" w:styleId="WW8Num2z0">
    <w:name w:val="WW8Num2z0"/>
    <w:rPr>
      <w:rFonts w:ascii="Symbol" w:hAnsi="Symbol" w:cs="Symbol" w:hint="default"/>
      <w:color w:val="00000A"/>
      <w:lang w:eastAsia="zh-CN"/>
    </w:rPr>
  </w:style>
  <w:style w:type="character" w:customStyle="1" w:styleId="WW8Num3z0">
    <w:name w:val="WW8Num3z0"/>
    <w:rPr>
      <w:rFonts w:ascii="Symbol" w:hAnsi="Symbol" w:cs="OpenSymbol"/>
      <w:sz w:val="22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ymbol" w:hint="default"/>
      <w:color w:val="000000"/>
      <w:sz w:val="22"/>
      <w:szCs w:val="22"/>
      <w:lang w:eastAsia="fr-FR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  <w:rPr>
      <w:b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  <w:b/>
      <w:color w:val="00206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Calibri" w:hAnsi="Calibri" w:cs="Calibri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Policepardfaut7">
    <w:name w:val="Police par défaut7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olicepardfaut1">
    <w:name w:val="Police par défaut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olicepardfaut6">
    <w:name w:val="Police par défaut6"/>
  </w:style>
  <w:style w:type="character" w:customStyle="1" w:styleId="Policepardfaut5">
    <w:name w:val="Police par défaut5"/>
  </w:style>
  <w:style w:type="character" w:customStyle="1" w:styleId="Policepardfaut4">
    <w:name w:val="Police par défaut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3">
    <w:name w:val="Police par défaut3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Policepardfaut2">
    <w:name w:val="Police par défaut2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Policepardfaut10">
    <w:name w:val="Police par défaut1"/>
  </w:style>
  <w:style w:type="character" w:styleId="lev">
    <w:name w:val="Strong"/>
    <w:qFormat/>
    <w:rPr>
      <w:b/>
      <w:bCs/>
    </w:rPr>
  </w:style>
  <w:style w:type="character" w:customStyle="1" w:styleId="CarCar">
    <w:name w:val="Car Car"/>
    <w:rPr>
      <w:rFonts w:ascii="Segoe UI" w:hAnsi="Segoe UI" w:cs="Segoe UI"/>
      <w:sz w:val="18"/>
      <w:szCs w:val="18"/>
      <w:lang w:eastAsia="zh-CN"/>
    </w:rPr>
  </w:style>
  <w:style w:type="character" w:styleId="Lienhypertexte">
    <w:name w:val="Hyperlink"/>
    <w:rPr>
      <w:color w:val="0000FF"/>
      <w:u w:val="single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En-tteCar">
    <w:name w:val="En-tête Car"/>
    <w:rPr>
      <w:sz w:val="24"/>
      <w:szCs w:val="24"/>
      <w:lang w:eastAsia="zh-CN"/>
    </w:rPr>
  </w:style>
  <w:style w:type="character" w:customStyle="1" w:styleId="PieddepageCar">
    <w:name w:val="Pied de page Car"/>
    <w:rPr>
      <w:sz w:val="24"/>
      <w:szCs w:val="24"/>
      <w:lang w:eastAsia="zh-CN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uiPriority w:val="99"/>
    <w:rPr>
      <w:lang w:eastAsia="zh-CN"/>
    </w:rPr>
  </w:style>
  <w:style w:type="character" w:customStyle="1" w:styleId="ObjetducommentaireCar">
    <w:name w:val="Objet du commentaire Car"/>
    <w:rPr>
      <w:b/>
      <w:bCs/>
      <w:lang w:eastAsia="zh-CN"/>
    </w:rPr>
  </w:style>
  <w:style w:type="character" w:customStyle="1" w:styleId="DefaultParagraphFont1">
    <w:name w:val="Default Paragraph Font1"/>
  </w:style>
  <w:style w:type="character" w:customStyle="1" w:styleId="ParagraphedelisteCar">
    <w:name w:val="Paragraphe de liste Car"/>
    <w:uiPriority w:val="34"/>
    <w:qFormat/>
    <w:rPr>
      <w:rFonts w:cs="Liberation Sans"/>
      <w:szCs w:val="24"/>
      <w:lang w:eastAsia="zh-CN"/>
    </w:rPr>
  </w:style>
  <w:style w:type="character" w:customStyle="1" w:styleId="Marquedecommentaire2">
    <w:name w:val="Marque de commentaire2"/>
    <w:rPr>
      <w:sz w:val="16"/>
      <w:szCs w:val="16"/>
    </w:rPr>
  </w:style>
  <w:style w:type="character" w:customStyle="1" w:styleId="CommentaireCar1">
    <w:name w:val="Commentaire Car1"/>
    <w:rPr>
      <w:lang w:eastAsia="zh-CN"/>
    </w:rPr>
  </w:style>
  <w:style w:type="character" w:customStyle="1" w:styleId="ObjetducommentaireCar1">
    <w:name w:val="Objet du commentaire Car1"/>
    <w:rPr>
      <w:b/>
      <w:bCs/>
      <w:lang w:eastAsia="zh-CN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  <w:lang w:eastAsia="zh-CN"/>
    </w:rPr>
  </w:style>
  <w:style w:type="paragraph" w:customStyle="1" w:styleId="Titre8">
    <w:name w:val="Titre8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7">
    <w:name w:val="Titre7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6">
    <w:name w:val="Titre6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5">
    <w:name w:val="Titre5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4">
    <w:name w:val="Titre4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1pt">
    <w:name w:val="Corps de texte + 11 pt"/>
    <w:basedOn w:val="Corpsdetexte"/>
    <w:pPr>
      <w:jc w:val="both"/>
    </w:pPr>
    <w:rPr>
      <w:color w:val="000000"/>
      <w:sz w:val="22"/>
      <w:szCs w:val="22"/>
    </w:rPr>
  </w:style>
  <w:style w:type="paragraph" w:customStyle="1" w:styleId="Textedebulles1">
    <w:name w:val="Texte de bulles1"/>
    <w:basedOn w:val="Normal"/>
    <w:rPr>
      <w:rFonts w:ascii="Segoe UI" w:hAnsi="Segoe UI" w:cs="Segoe UI"/>
      <w:sz w:val="18"/>
      <w:szCs w:val="18"/>
      <w:lang w:val="x-none"/>
    </w:rPr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paragraph" w:customStyle="1" w:styleId="western">
    <w:name w:val="western"/>
    <w:basedOn w:val="Normal"/>
    <w:pPr>
      <w:suppressAutoHyphens w:val="0"/>
      <w:spacing w:before="100" w:after="119"/>
    </w:pPr>
    <w:rPr>
      <w:color w:val="00000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customStyle="1" w:styleId="CommentSubject">
    <w:name w:val="Comment Subject"/>
    <w:basedOn w:val="Commentaire1"/>
    <w:next w:val="Commentaire1"/>
    <w:rPr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Paragraphedeliste1">
    <w:name w:val="Paragraphe de liste1"/>
    <w:basedOn w:val="Normal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ocumentMap">
    <w:name w:val="DocumentMap"/>
    <w:pPr>
      <w:suppressAutoHyphens/>
    </w:pPr>
    <w:rPr>
      <w:rFonts w:ascii="Calibri" w:eastAsia="Calibri" w:hAnsi="Calibri" w:cs="Calibri"/>
      <w:szCs w:val="22"/>
      <w:lang w:eastAsia="zh-CN"/>
    </w:rPr>
  </w:style>
  <w:style w:type="paragraph" w:styleId="Paragraphedeliste">
    <w:name w:val="List Paragraph"/>
    <w:basedOn w:val="Normal"/>
    <w:uiPriority w:val="34"/>
    <w:qFormat/>
    <w:pPr>
      <w:spacing w:line="276" w:lineRule="auto"/>
      <w:ind w:left="720"/>
      <w:contextualSpacing/>
      <w:jc w:val="both"/>
    </w:pPr>
    <w:rPr>
      <w:rFonts w:cs="Liberation Sans"/>
      <w:sz w:val="20"/>
    </w:rPr>
  </w:style>
  <w:style w:type="paragraph" w:customStyle="1" w:styleId="Commentaire2">
    <w:name w:val="Commentaire2"/>
    <w:basedOn w:val="Normal"/>
    <w:rPr>
      <w:sz w:val="20"/>
      <w:szCs w:val="20"/>
    </w:rPr>
  </w:style>
  <w:style w:type="paragraph" w:styleId="Objetducommentaire">
    <w:name w:val="annotation subject"/>
    <w:basedOn w:val="Commentaire2"/>
    <w:next w:val="Commentaire2"/>
    <w:rPr>
      <w:b/>
      <w:bCs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6030D"/>
    <w:rPr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26030D"/>
    <w:rPr>
      <w:vertAlign w:val="superscript"/>
    </w:rPr>
  </w:style>
  <w:style w:type="paragraph" w:customStyle="1" w:styleId="Listecouleur-Accent11">
    <w:name w:val="Liste couleur - Accent 11"/>
    <w:basedOn w:val="Normal"/>
    <w:uiPriority w:val="99"/>
    <w:qFormat/>
    <w:rsid w:val="001F61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ind w:left="720"/>
    </w:pPr>
    <w:rPr>
      <w:rFonts w:eastAsia="Calibri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A39E8"/>
    <w:rPr>
      <w:sz w:val="16"/>
      <w:szCs w:val="16"/>
    </w:rPr>
  </w:style>
  <w:style w:type="paragraph" w:styleId="Commentaire">
    <w:name w:val="annotation text"/>
    <w:basedOn w:val="Normal"/>
    <w:link w:val="CommentaireCar2"/>
    <w:uiPriority w:val="99"/>
    <w:unhideWhenUsed/>
    <w:rsid w:val="00AA39E8"/>
    <w:rPr>
      <w:sz w:val="20"/>
      <w:szCs w:val="20"/>
    </w:rPr>
  </w:style>
  <w:style w:type="character" w:customStyle="1" w:styleId="CommentaireCar2">
    <w:name w:val="Commentaire Car2"/>
    <w:basedOn w:val="Policepardfaut"/>
    <w:link w:val="Commentaire"/>
    <w:uiPriority w:val="99"/>
    <w:rsid w:val="00AA39E8"/>
    <w:rPr>
      <w:lang w:eastAsia="zh-CN"/>
    </w:rPr>
  </w:style>
  <w:style w:type="character" w:customStyle="1" w:styleId="s6">
    <w:name w:val="s6"/>
    <w:rsid w:val="00582DED"/>
  </w:style>
  <w:style w:type="paragraph" w:styleId="Rvision">
    <w:name w:val="Revision"/>
    <w:hidden/>
    <w:uiPriority w:val="99"/>
    <w:semiHidden/>
    <w:rsid w:val="0061542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2C57-0B7A-40AD-A688-E403529A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de présentation, pour le Conseil supérieur de l’énergie du 28 novembre 2017, du projet d’arrêté portant reconduction des programmes « Toits d’abord » et « SMEn »  dans le cadre du dispositif des certificats d'économies d'énergie</vt:lpstr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présentation, pour le Conseil supérieur de l’énergie du 28 novembre 2017, du projet d’arrêté portant reconduction des programmes « Toits d’abord » et « SMEn »  dans le cadre du dispositif des certificats d'économies d'énergie</dc:title>
  <dc:subject/>
  <dc:creator>mathilde.isler</dc:creator>
  <cp:keywords/>
  <cp:lastModifiedBy>TAUFOUR Clarisse</cp:lastModifiedBy>
  <cp:revision>6</cp:revision>
  <cp:lastPrinted>2024-04-22T15:03:00Z</cp:lastPrinted>
  <dcterms:created xsi:type="dcterms:W3CDTF">2024-11-29T16:09:00Z</dcterms:created>
  <dcterms:modified xsi:type="dcterms:W3CDTF">2024-11-29T16:30:00Z</dcterms:modified>
</cp:coreProperties>
</file>