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15FEE" w14:textId="77777777" w:rsidR="00BD5643" w:rsidRPr="00BD5643" w:rsidRDefault="00BD5643" w:rsidP="00BD5643">
      <w:pPr>
        <w:jc w:val="center"/>
        <w:rPr>
          <w:b/>
          <w:sz w:val="36"/>
          <w:szCs w:val="36"/>
        </w:rPr>
      </w:pPr>
      <w:r w:rsidRPr="00BD5643">
        <w:rPr>
          <w:b/>
          <w:sz w:val="36"/>
          <w:szCs w:val="36"/>
        </w:rPr>
        <w:t>PHASE DE TEST DE L’INDICATEUR DE POTENTIEL D’INTELLIGENCE DU BATIMENT</w:t>
      </w:r>
    </w:p>
    <w:p w14:paraId="372A0A39" w14:textId="77777777" w:rsidR="00A60468" w:rsidRDefault="00BD5643" w:rsidP="00BD5643">
      <w:pPr>
        <w:jc w:val="center"/>
        <w:rPr>
          <w:b/>
          <w:sz w:val="36"/>
          <w:szCs w:val="36"/>
        </w:rPr>
      </w:pPr>
      <w:r w:rsidRPr="00BD5643">
        <w:rPr>
          <w:b/>
          <w:sz w:val="36"/>
          <w:szCs w:val="36"/>
        </w:rPr>
        <w:t>(SRI = SMART READINESS INDICATOR)</w:t>
      </w:r>
    </w:p>
    <w:p w14:paraId="62D70199" w14:textId="77777777" w:rsidR="001545B2" w:rsidRPr="00BD5643" w:rsidRDefault="001545B2" w:rsidP="00BD5643">
      <w:pPr>
        <w:jc w:val="center"/>
        <w:rPr>
          <w:b/>
          <w:sz w:val="36"/>
          <w:szCs w:val="36"/>
        </w:rPr>
      </w:pPr>
    </w:p>
    <w:p w14:paraId="6D654310" w14:textId="77777777" w:rsidR="00BD5643" w:rsidRDefault="001545B2" w:rsidP="001545B2">
      <w:pPr>
        <w:pStyle w:val="Titre1"/>
      </w:pPr>
      <w:r>
        <w:t>PRESENTATION DU PROJET</w:t>
      </w:r>
    </w:p>
    <w:p w14:paraId="60CAC003" w14:textId="77777777" w:rsidR="00DB5781" w:rsidRPr="00DB5781" w:rsidRDefault="00DB5781" w:rsidP="00DB5781"/>
    <w:p w14:paraId="5D350F07" w14:textId="77777777" w:rsidR="00ED0EC1" w:rsidRPr="00EE3BE8" w:rsidRDefault="00ED0EC1" w:rsidP="00ED0EC1">
      <w:pPr>
        <w:pStyle w:val="Sous-titre"/>
        <w:rPr>
          <w:b/>
        </w:rPr>
      </w:pPr>
      <w:r w:rsidRPr="00EE3BE8">
        <w:rPr>
          <w:b/>
        </w:rPr>
        <w:t>Contexte</w:t>
      </w:r>
      <w:r w:rsidR="00EE3BE8">
        <w:rPr>
          <w:b/>
        </w:rPr>
        <w:t> :</w:t>
      </w:r>
    </w:p>
    <w:p w14:paraId="578E5483" w14:textId="4E8AF51A" w:rsidR="00A36119" w:rsidRDefault="00A36119" w:rsidP="00A36119">
      <w:pPr>
        <w:jc w:val="both"/>
      </w:pPr>
      <w:r>
        <w:t xml:space="preserve">L'indicateur de potentiel d’intelligence </w:t>
      </w:r>
      <w:r w:rsidR="008E70FF">
        <w:t xml:space="preserve">du bâtiment </w:t>
      </w:r>
      <w:r>
        <w:t xml:space="preserve">a été </w:t>
      </w:r>
      <w:r w:rsidR="008F2275">
        <w:t>introduit dans</w:t>
      </w:r>
      <w:r>
        <w:t xml:space="preserve"> la directive sur la performance énergétique des bâtiments</w:t>
      </w:r>
      <w:r w:rsidR="008F2275">
        <w:t xml:space="preserve"> (DPEB)</w:t>
      </w:r>
      <w:r>
        <w:t xml:space="preserve"> en 2018 et ses règlements ultérieurs (règlement délégué et règlement d'exécution), déclenchant une phase de mise en œuvre facultative par les pays de l'U</w:t>
      </w:r>
      <w:r w:rsidR="005237EA">
        <w:t xml:space="preserve">nion </w:t>
      </w:r>
      <w:r w:rsidR="008E70FF">
        <w:t>e</w:t>
      </w:r>
      <w:r w:rsidR="005237EA">
        <w:t>uropéenne (UE)</w:t>
      </w:r>
      <w:r>
        <w:t xml:space="preserve">. </w:t>
      </w:r>
    </w:p>
    <w:p w14:paraId="0A4CFEAF" w14:textId="3D75A4C6" w:rsidR="00A36119" w:rsidRDefault="008F2275" w:rsidP="00A36119">
      <w:pPr>
        <w:jc w:val="both"/>
      </w:pPr>
      <w:r>
        <w:t>Ainsi, l</w:t>
      </w:r>
      <w:r w:rsidR="00A36119">
        <w:t>es pays de l'U</w:t>
      </w:r>
      <w:r>
        <w:t>nion européenne</w:t>
      </w:r>
      <w:r w:rsidR="00A36119">
        <w:t xml:space="preserve"> peuvent lancer une phase de test sans engagement. Le retour </w:t>
      </w:r>
      <w:r w:rsidR="002832EA">
        <w:t>d</w:t>
      </w:r>
      <w:r w:rsidR="00D75D57">
        <w:t>’</w:t>
      </w:r>
      <w:r w:rsidR="002832EA">
        <w:t xml:space="preserve">expérience </w:t>
      </w:r>
      <w:r w:rsidR="00A36119">
        <w:t>des phases d'essai nationales permettra d'ajuster les modalités de mise en œuvre</w:t>
      </w:r>
      <w:r>
        <w:t xml:space="preserve"> </w:t>
      </w:r>
      <w:r w:rsidRPr="006B082A">
        <w:t>éventuelle</w:t>
      </w:r>
      <w:r w:rsidR="00A36119">
        <w:t xml:space="preserve"> du système. </w:t>
      </w:r>
    </w:p>
    <w:p w14:paraId="46D331ED" w14:textId="1FAC642A" w:rsidR="00A023F5" w:rsidRDefault="00A36119" w:rsidP="00A36119">
      <w:pPr>
        <w:jc w:val="both"/>
      </w:pPr>
      <w:r>
        <w:t>L</w:t>
      </w:r>
      <w:r w:rsidR="00350A05">
        <w:t xml:space="preserve">es règlements européens </w:t>
      </w:r>
      <w:r w:rsidR="00342DC2">
        <w:t>n°202</w:t>
      </w:r>
      <w:r w:rsidR="00181A5F">
        <w:t>0</w:t>
      </w:r>
      <w:r w:rsidR="00342DC2">
        <w:t xml:space="preserve">/2155 et n°2020/2156 </w:t>
      </w:r>
      <w:r w:rsidR="00350A05">
        <w:t>et leur</w:t>
      </w:r>
      <w:r w:rsidR="00350A05" w:rsidRPr="00350A05">
        <w:t xml:space="preserve"> annexe</w:t>
      </w:r>
      <w:r w:rsidR="00350A05">
        <w:t>s</w:t>
      </w:r>
      <w:r w:rsidR="00350A05" w:rsidRPr="00350A05">
        <w:t>, relatifs aux modalités techniques de la mise en place d’un schéma commun pour l’évaluation du potentiel d’intelligence des bâtiments</w:t>
      </w:r>
      <w:r>
        <w:t>,</w:t>
      </w:r>
      <w:r w:rsidRPr="00A36119">
        <w:t xml:space="preserve"> </w:t>
      </w:r>
      <w:r>
        <w:t>ont été</w:t>
      </w:r>
      <w:r w:rsidRPr="00350A05">
        <w:t xml:space="preserve"> adopté</w:t>
      </w:r>
      <w:r>
        <w:t xml:space="preserve">s en fin d’année </w:t>
      </w:r>
      <w:r w:rsidRPr="00350A05">
        <w:t>2020</w:t>
      </w:r>
      <w:r w:rsidR="00350A05" w:rsidRPr="00350A05">
        <w:t xml:space="preserve">. </w:t>
      </w:r>
      <w:r w:rsidR="008E70FF">
        <w:t>L</w:t>
      </w:r>
      <w:r w:rsidR="00350A05" w:rsidRPr="00350A05">
        <w:t>e calendrier et les actions nécessaires à la mise en place du test</w:t>
      </w:r>
      <w:r w:rsidR="008E70FF">
        <w:t xml:space="preserve"> sur le territoire national sont détaillées ci-après</w:t>
      </w:r>
      <w:r w:rsidR="00350A05" w:rsidRPr="00350A05">
        <w:t>.</w:t>
      </w:r>
    </w:p>
    <w:p w14:paraId="5AECD88B" w14:textId="77777777" w:rsidR="00326A23" w:rsidRDefault="00326A23" w:rsidP="00A36119">
      <w:pPr>
        <w:jc w:val="both"/>
      </w:pPr>
    </w:p>
    <w:p w14:paraId="2F2F2D56" w14:textId="77777777" w:rsidR="00ED0EC1" w:rsidRPr="00EE3BE8" w:rsidRDefault="001D592E" w:rsidP="001D592E">
      <w:pPr>
        <w:pStyle w:val="Sous-titre"/>
        <w:rPr>
          <w:b/>
        </w:rPr>
      </w:pPr>
      <w:r w:rsidRPr="00EE3BE8">
        <w:rPr>
          <w:b/>
        </w:rPr>
        <w:t>Objet</w:t>
      </w:r>
      <w:r w:rsidR="00EE3BE8">
        <w:rPr>
          <w:b/>
        </w:rPr>
        <w:t> :</w:t>
      </w:r>
    </w:p>
    <w:p w14:paraId="3FEB06B9" w14:textId="134B65BE" w:rsidR="001D592E" w:rsidRDefault="001D592E" w:rsidP="001D592E">
      <w:pPr>
        <w:jc w:val="both"/>
      </w:pPr>
      <w:r>
        <w:t xml:space="preserve">Le projet a pour objectif de </w:t>
      </w:r>
      <w:r w:rsidRPr="006C4629">
        <w:rPr>
          <w:b/>
        </w:rPr>
        <w:t>tester</w:t>
      </w:r>
      <w:r w:rsidR="00D75D57">
        <w:rPr>
          <w:b/>
        </w:rPr>
        <w:t>, sur</w:t>
      </w:r>
      <w:r w:rsidR="00AF4730">
        <w:rPr>
          <w:b/>
        </w:rPr>
        <w:t xml:space="preserve"> 30 bâtiments,</w:t>
      </w:r>
      <w:r w:rsidRPr="006C4629">
        <w:rPr>
          <w:b/>
        </w:rPr>
        <w:t xml:space="preserve"> la méthodologie proposée par la Commission européenne</w:t>
      </w:r>
      <w:r>
        <w:t xml:space="preserve"> pour l’évaluation de l’indicateur du potentiel d’intellig</w:t>
      </w:r>
      <w:r w:rsidR="00A36119">
        <w:t>ence du bâtiment no</w:t>
      </w:r>
      <w:r w:rsidR="006C4629">
        <w:t>mmé « </w:t>
      </w:r>
      <w:r w:rsidR="00A36119" w:rsidRPr="006C4629">
        <w:rPr>
          <w:i/>
        </w:rPr>
        <w:t>SRI</w:t>
      </w:r>
      <w:r w:rsidR="00A36119">
        <w:t> » </w:t>
      </w:r>
      <w:r w:rsidR="008E70FF">
        <w:t xml:space="preserve">en </w:t>
      </w:r>
      <w:r w:rsidR="00A36119">
        <w:t>:</w:t>
      </w:r>
    </w:p>
    <w:p w14:paraId="366DAFD0" w14:textId="338B59C7" w:rsidR="00A36119" w:rsidRPr="00846E5F" w:rsidRDefault="00A36119" w:rsidP="00A36119">
      <w:pPr>
        <w:jc w:val="both"/>
      </w:pPr>
      <w:r w:rsidRPr="00846E5F">
        <w:t>a) test</w:t>
      </w:r>
      <w:r w:rsidR="008E70FF" w:rsidRPr="00846E5F">
        <w:t>ant</w:t>
      </w:r>
      <w:r w:rsidRPr="00846E5F">
        <w:t xml:space="preserve"> les méthodes et l’éventuelle synergie avec le DPE en termes de données</w:t>
      </w:r>
      <w:r w:rsidR="008F2275" w:rsidRPr="00846E5F">
        <w:t> ;</w:t>
      </w:r>
    </w:p>
    <w:p w14:paraId="28FE98C7" w14:textId="47207B32" w:rsidR="00A36119" w:rsidRPr="00A36119" w:rsidRDefault="007C7C9C" w:rsidP="00A36119">
      <w:pPr>
        <w:jc w:val="both"/>
      </w:pPr>
      <w:r w:rsidRPr="00846E5F">
        <w:t xml:space="preserve">b) </w:t>
      </w:r>
      <w:r w:rsidR="00230022" w:rsidRPr="00842950">
        <w:t xml:space="preserve">procédant à </w:t>
      </w:r>
      <w:r w:rsidRPr="00842950">
        <w:t xml:space="preserve">l’évaluation </w:t>
      </w:r>
      <w:r w:rsidR="00230022" w:rsidRPr="00842950">
        <w:t xml:space="preserve">concrète </w:t>
      </w:r>
      <w:r w:rsidRPr="00842950">
        <w:t xml:space="preserve">de l’indicateur, </w:t>
      </w:r>
      <w:r w:rsidR="00A36119" w:rsidRPr="00842950">
        <w:t xml:space="preserve">qui pourrait </w:t>
      </w:r>
      <w:r w:rsidR="00BF1468" w:rsidRPr="00842950">
        <w:t xml:space="preserve">être pérennisé </w:t>
      </w:r>
      <w:r w:rsidR="00A36119" w:rsidRPr="00842950">
        <w:t>dans la révision de la DPEB</w:t>
      </w:r>
      <w:r w:rsidR="00BF1468" w:rsidRPr="00842950">
        <w:t xml:space="preserve"> en cours d’examen</w:t>
      </w:r>
      <w:r w:rsidRPr="00842950">
        <w:t>, notamment pour le secteur non résidentiel</w:t>
      </w:r>
      <w:r w:rsidR="008F2275" w:rsidRPr="00846E5F">
        <w:t> ;</w:t>
      </w:r>
    </w:p>
    <w:p w14:paraId="4A37D871" w14:textId="64F16B1F" w:rsidR="00A36119" w:rsidRPr="00734D11" w:rsidRDefault="00A36119" w:rsidP="00A36119">
      <w:pPr>
        <w:jc w:val="both"/>
      </w:pPr>
      <w:r w:rsidRPr="00734D11">
        <w:t xml:space="preserve">c) </w:t>
      </w:r>
      <w:r w:rsidR="00EA5E8A">
        <w:t>i</w:t>
      </w:r>
      <w:r w:rsidRPr="00734D11">
        <w:t>dentifi</w:t>
      </w:r>
      <w:r w:rsidR="008E70FF">
        <w:t>ant</w:t>
      </w:r>
      <w:r w:rsidRPr="00734D11">
        <w:t xml:space="preserve"> les compétences professionnelles pertinentes.</w:t>
      </w:r>
    </w:p>
    <w:p w14:paraId="5B775232" w14:textId="0C17FD62" w:rsidR="001D592E" w:rsidRDefault="001D592E" w:rsidP="00A36119">
      <w:pPr>
        <w:jc w:val="both"/>
      </w:pPr>
      <w:r>
        <w:t xml:space="preserve">Le ministère du logement engage </w:t>
      </w:r>
      <w:r w:rsidR="00A023F5">
        <w:t xml:space="preserve">l’expérimentation </w:t>
      </w:r>
      <w:r w:rsidR="00734D11">
        <w:t>relative à</w:t>
      </w:r>
      <w:r w:rsidR="00FB44C6">
        <w:t xml:space="preserve"> l’indicateur </w:t>
      </w:r>
      <w:r w:rsidR="00FB44C6" w:rsidRPr="00FB44C6">
        <w:rPr>
          <w:i/>
        </w:rPr>
        <w:t>SRI</w:t>
      </w:r>
      <w:r w:rsidR="00FB44C6">
        <w:t xml:space="preserve"> </w:t>
      </w:r>
      <w:r>
        <w:t xml:space="preserve">sur une </w:t>
      </w:r>
      <w:r w:rsidRPr="00FB44C6">
        <w:rPr>
          <w:b/>
        </w:rPr>
        <w:t>période d’un an</w:t>
      </w:r>
      <w:r w:rsidR="00A023F5" w:rsidRPr="00FB44C6">
        <w:rPr>
          <w:b/>
        </w:rPr>
        <w:t>,</w:t>
      </w:r>
      <w:r w:rsidRPr="00FB44C6">
        <w:rPr>
          <w:b/>
        </w:rPr>
        <w:t xml:space="preserve"> renouvelable</w:t>
      </w:r>
      <w:bookmarkStart w:id="0" w:name="_GoBack"/>
      <w:bookmarkEnd w:id="0"/>
      <w:r w:rsidR="00A023F5">
        <w:t xml:space="preserve">. La première phase courra </w:t>
      </w:r>
      <w:r w:rsidR="00A023F5" w:rsidRPr="006B082A">
        <w:t xml:space="preserve">du </w:t>
      </w:r>
      <w:r w:rsidR="00A023F5" w:rsidRPr="005D6783">
        <w:rPr>
          <w:b/>
        </w:rPr>
        <w:t>1</w:t>
      </w:r>
      <w:r w:rsidR="00A023F5" w:rsidRPr="005D6783">
        <w:rPr>
          <w:b/>
          <w:vertAlign w:val="superscript"/>
        </w:rPr>
        <w:t>er</w:t>
      </w:r>
      <w:r w:rsidR="00A023F5" w:rsidRPr="005D6783">
        <w:rPr>
          <w:b/>
        </w:rPr>
        <w:t xml:space="preserve"> </w:t>
      </w:r>
      <w:r w:rsidR="00E9021A">
        <w:rPr>
          <w:b/>
        </w:rPr>
        <w:t>novembre</w:t>
      </w:r>
      <w:r w:rsidR="00E9021A" w:rsidRPr="005D6783">
        <w:rPr>
          <w:b/>
        </w:rPr>
        <w:t xml:space="preserve"> </w:t>
      </w:r>
      <w:r w:rsidRPr="005D6783">
        <w:rPr>
          <w:b/>
        </w:rPr>
        <w:t xml:space="preserve">2022 </w:t>
      </w:r>
      <w:r w:rsidR="00E9021A">
        <w:rPr>
          <w:b/>
        </w:rPr>
        <w:t>au</w:t>
      </w:r>
      <w:r w:rsidR="00E9021A" w:rsidRPr="005D6783">
        <w:rPr>
          <w:b/>
        </w:rPr>
        <w:t xml:space="preserve"> </w:t>
      </w:r>
      <w:r w:rsidR="007C7C9C">
        <w:rPr>
          <w:b/>
        </w:rPr>
        <w:t xml:space="preserve">30 </w:t>
      </w:r>
      <w:r w:rsidR="00E9021A">
        <w:rPr>
          <w:b/>
        </w:rPr>
        <w:t>novembre</w:t>
      </w:r>
      <w:r w:rsidR="00E9021A" w:rsidRPr="005D6783">
        <w:rPr>
          <w:b/>
        </w:rPr>
        <w:t xml:space="preserve"> </w:t>
      </w:r>
      <w:r w:rsidRPr="005D6783">
        <w:rPr>
          <w:b/>
        </w:rPr>
        <w:t>202</w:t>
      </w:r>
      <w:r w:rsidR="00181A5F" w:rsidRPr="005D6783">
        <w:rPr>
          <w:b/>
        </w:rPr>
        <w:t>3</w:t>
      </w:r>
      <w:r>
        <w:t xml:space="preserve"> </w:t>
      </w:r>
      <w:r w:rsidR="00181A5F">
        <w:t>(cf</w:t>
      </w:r>
      <w:r w:rsidR="008E70FF">
        <w:t>.</w:t>
      </w:r>
      <w:r w:rsidR="00181A5F">
        <w:t xml:space="preserve"> tableau ci-dessous)</w:t>
      </w:r>
      <w:r w:rsidR="00A023F5">
        <w:t>.</w:t>
      </w:r>
    </w:p>
    <w:p w14:paraId="0B993EA1" w14:textId="0F6055E5" w:rsidR="001D592E" w:rsidRDefault="001D592E" w:rsidP="001D592E">
      <w:pPr>
        <w:jc w:val="both"/>
      </w:pPr>
      <w:r>
        <w:t xml:space="preserve">Une communication sera faite </w:t>
      </w:r>
      <w:r w:rsidR="008E70FF">
        <w:t>dans la rubrique « SRI » du</w:t>
      </w:r>
      <w:r>
        <w:t xml:space="preserve"> site </w:t>
      </w:r>
      <w:r w:rsidR="00E9021A">
        <w:t>du ministère,</w:t>
      </w:r>
      <w:r>
        <w:t xml:space="preserve"> </w:t>
      </w:r>
      <w:r w:rsidR="007C7C9C">
        <w:t>le cas éc</w:t>
      </w:r>
      <w:r w:rsidR="008E70FF">
        <w:t>héant</w:t>
      </w:r>
      <w:r>
        <w:t>.</w:t>
      </w:r>
      <w:r w:rsidR="00401C97">
        <w:t xml:space="preserve"> </w:t>
      </w:r>
    </w:p>
    <w:p w14:paraId="273FD3D1" w14:textId="56ADAD74" w:rsidR="00345022" w:rsidRDefault="00345022" w:rsidP="001D592E">
      <w:pPr>
        <w:jc w:val="both"/>
      </w:pPr>
    </w:p>
    <w:p w14:paraId="5FE41248" w14:textId="77777777" w:rsidR="00345022" w:rsidRDefault="00345022" w:rsidP="001D592E">
      <w:pPr>
        <w:jc w:val="both"/>
      </w:pPr>
    </w:p>
    <w:p w14:paraId="110460A3" w14:textId="77777777" w:rsidR="001D592E" w:rsidRPr="001D592E" w:rsidRDefault="001D592E" w:rsidP="001D592E"/>
    <w:p w14:paraId="6FFBFEE4" w14:textId="4B9E3783" w:rsidR="00E7299A" w:rsidRDefault="006A159E" w:rsidP="00E7299A">
      <w:pPr>
        <w:pStyle w:val="Titre1"/>
      </w:pPr>
      <w:r>
        <w:t xml:space="preserve">CADRAGE </w:t>
      </w:r>
      <w:r w:rsidR="00622DCC">
        <w:t xml:space="preserve"> </w:t>
      </w:r>
    </w:p>
    <w:p w14:paraId="0FC470E3" w14:textId="77777777" w:rsidR="00345022" w:rsidRPr="00345022" w:rsidRDefault="00345022" w:rsidP="00345022"/>
    <w:p w14:paraId="316E5B14" w14:textId="77777777" w:rsidR="002A254F" w:rsidRPr="00EE3BE8" w:rsidRDefault="002A254F" w:rsidP="002A254F">
      <w:pPr>
        <w:pStyle w:val="Sous-titre"/>
        <w:jc w:val="both"/>
      </w:pPr>
      <w:r>
        <w:t xml:space="preserve">Professionnels </w:t>
      </w:r>
    </w:p>
    <w:p w14:paraId="7B597A0F" w14:textId="2342E4D1" w:rsidR="004172A2" w:rsidRDefault="002A254F" w:rsidP="002A254F">
      <w:pPr>
        <w:jc w:val="both"/>
      </w:pPr>
      <w:r>
        <w:t xml:space="preserve">Les professionnels </w:t>
      </w:r>
      <w:r w:rsidR="00345022">
        <w:t>éligibles, définis dans</w:t>
      </w:r>
      <w:r>
        <w:t xml:space="preserve"> le cadre réglementaire européen, sont les</w:t>
      </w:r>
      <w:r w:rsidR="00DE7369" w:rsidRPr="00DE7369">
        <w:t xml:space="preserve"> professionnels réalisant des prestations de service dans le domaine de la performance énergétique et de l’efficacité énergétique.</w:t>
      </w:r>
      <w:r>
        <w:t xml:space="preserve"> Pour une lecture </w:t>
      </w:r>
      <w:r w:rsidR="008F2275">
        <w:t xml:space="preserve">simplifiée des compétences </w:t>
      </w:r>
      <w:r w:rsidR="006137CC">
        <w:t>pré-requises</w:t>
      </w:r>
      <w:r>
        <w:t>, une liste des compétences correspondantes a été établie (</w:t>
      </w:r>
      <w:r w:rsidRPr="006B082A">
        <w:t>cf</w:t>
      </w:r>
      <w:r w:rsidR="004E75E1">
        <w:t>.</w:t>
      </w:r>
      <w:r w:rsidRPr="006B082A">
        <w:t xml:space="preserve"> </w:t>
      </w:r>
      <w:r w:rsidR="006137CC">
        <w:t xml:space="preserve">document </w:t>
      </w:r>
      <w:r w:rsidR="00A70E25">
        <w:t>qualification</w:t>
      </w:r>
      <w:r w:rsidR="004E75E1">
        <w:t>s</w:t>
      </w:r>
      <w:r w:rsidR="00A70E25">
        <w:t xml:space="preserve"> requise</w:t>
      </w:r>
      <w:r w:rsidR="004E75E1">
        <w:t>s</w:t>
      </w:r>
      <w:r>
        <w:t>)</w:t>
      </w:r>
      <w:r w:rsidR="006A159E">
        <w:t xml:space="preserve">. </w:t>
      </w:r>
    </w:p>
    <w:p w14:paraId="71A8D79E" w14:textId="773D7F50" w:rsidR="002A254F" w:rsidRDefault="006A159E" w:rsidP="002A254F">
      <w:pPr>
        <w:jc w:val="both"/>
      </w:pPr>
      <w:r>
        <w:t>Lors de sa candidature, le professionnel</w:t>
      </w:r>
      <w:r w:rsidR="004E75E1">
        <w:t xml:space="preserve"> doit</w:t>
      </w:r>
      <w:r>
        <w:t xml:space="preserve"> </w:t>
      </w:r>
      <w:r w:rsidRPr="00F95CB3">
        <w:rPr>
          <w:b/>
        </w:rPr>
        <w:t>compl</w:t>
      </w:r>
      <w:r w:rsidR="004E75E1">
        <w:rPr>
          <w:b/>
        </w:rPr>
        <w:t>é</w:t>
      </w:r>
      <w:r w:rsidRPr="00F95CB3">
        <w:rPr>
          <w:b/>
        </w:rPr>
        <w:t>te</w:t>
      </w:r>
      <w:r w:rsidR="004E75E1">
        <w:rPr>
          <w:b/>
        </w:rPr>
        <w:t>r</w:t>
      </w:r>
      <w:r w:rsidRPr="00F95CB3">
        <w:rPr>
          <w:b/>
        </w:rPr>
        <w:t xml:space="preserve"> un formulaire en ligne et </w:t>
      </w:r>
      <w:r w:rsidR="004172A2">
        <w:rPr>
          <w:b/>
        </w:rPr>
        <w:t>join</w:t>
      </w:r>
      <w:r w:rsidR="004E75E1">
        <w:rPr>
          <w:b/>
        </w:rPr>
        <w:t>dre</w:t>
      </w:r>
      <w:r w:rsidRPr="00F95CB3">
        <w:rPr>
          <w:b/>
        </w:rPr>
        <w:t xml:space="preserve"> le justificatif concernant ses compétences</w:t>
      </w:r>
      <w:r>
        <w:t>.</w:t>
      </w:r>
      <w:r w:rsidR="000D3AAC">
        <w:t xml:space="preserve"> </w:t>
      </w:r>
      <w:r w:rsidR="00BD425B">
        <w:t>Il</w:t>
      </w:r>
      <w:r w:rsidR="004172A2">
        <w:t xml:space="preserve"> s’engage à</w:t>
      </w:r>
      <w:r w:rsidR="000D3AAC">
        <w:t xml:space="preserve"> </w:t>
      </w:r>
      <w:r w:rsidR="000D3AAC" w:rsidRPr="000D3AAC">
        <w:rPr>
          <w:b/>
        </w:rPr>
        <w:t xml:space="preserve">suivre la formation </w:t>
      </w:r>
      <w:r w:rsidR="000D3AAC" w:rsidRPr="000D3AAC">
        <w:rPr>
          <w:b/>
          <w:i/>
        </w:rPr>
        <w:t>SRI</w:t>
      </w:r>
      <w:r w:rsidR="000D3AAC">
        <w:t xml:space="preserve"> en ligne.</w:t>
      </w:r>
      <w:r>
        <w:t xml:space="preserve"> </w:t>
      </w:r>
      <w:r w:rsidR="004172A2">
        <w:t>En fin de formation, il devra remplir un questionnaire de connaissance</w:t>
      </w:r>
      <w:r w:rsidR="00491F4E">
        <w:t>s</w:t>
      </w:r>
      <w:r w:rsidR="004172A2">
        <w:t xml:space="preserve">. </w:t>
      </w:r>
      <w:r>
        <w:t xml:space="preserve">Le professionnel ne pourra participer à la phase de test que si </w:t>
      </w:r>
      <w:r w:rsidR="004172A2">
        <w:t xml:space="preserve">l’ensemble de </w:t>
      </w:r>
      <w:r w:rsidR="00F95CB3">
        <w:t>c</w:t>
      </w:r>
      <w:r>
        <w:t>e</w:t>
      </w:r>
      <w:r w:rsidR="000D3AAC">
        <w:t xml:space="preserve">s </w:t>
      </w:r>
      <w:r w:rsidR="00F95CB3">
        <w:t>condition</w:t>
      </w:r>
      <w:r w:rsidR="000D3AAC">
        <w:t>s sont</w:t>
      </w:r>
      <w:r>
        <w:t xml:space="preserve"> remplie</w:t>
      </w:r>
      <w:r w:rsidR="000D3AAC">
        <w:t>s</w:t>
      </w:r>
      <w:r>
        <w:t>.</w:t>
      </w:r>
    </w:p>
    <w:p w14:paraId="45CB0ED7" w14:textId="77777777" w:rsidR="00BD425B" w:rsidRDefault="00BD425B" w:rsidP="002A254F">
      <w:pPr>
        <w:jc w:val="both"/>
      </w:pPr>
    </w:p>
    <w:p w14:paraId="6D32330E" w14:textId="0B5EE492" w:rsidR="00A70E25" w:rsidRDefault="00A70E25" w:rsidP="00A70E25">
      <w:pPr>
        <w:pStyle w:val="Sous-titre"/>
      </w:pPr>
      <w:r>
        <w:t xml:space="preserve">Auto-évaluation </w:t>
      </w:r>
    </w:p>
    <w:p w14:paraId="3E6CFC44" w14:textId="7FFD9681" w:rsidR="00244F25" w:rsidRDefault="00A70E25" w:rsidP="002A254F">
      <w:pPr>
        <w:jc w:val="both"/>
      </w:pPr>
      <w:r>
        <w:t xml:space="preserve">Les propriétaires ou gestionnaires de bâtiments qui souhaitent </w:t>
      </w:r>
      <w:r w:rsidRPr="00D05AD4">
        <w:rPr>
          <w:b/>
        </w:rPr>
        <w:t>réaliser une auto-évaluation</w:t>
      </w:r>
      <w:r w:rsidR="00B54E52" w:rsidRPr="00D05AD4">
        <w:rPr>
          <w:b/>
        </w:rPr>
        <w:t xml:space="preserve"> </w:t>
      </w:r>
      <w:r w:rsidR="00BD425B">
        <w:rPr>
          <w:b/>
        </w:rPr>
        <w:t>d</w:t>
      </w:r>
      <w:r w:rsidR="00500BE8">
        <w:rPr>
          <w:b/>
        </w:rPr>
        <w:t>e l’indicateur</w:t>
      </w:r>
      <w:r w:rsidR="00BD425B">
        <w:rPr>
          <w:b/>
        </w:rPr>
        <w:t xml:space="preserve"> </w:t>
      </w:r>
      <w:r w:rsidR="00BD425B" w:rsidRPr="00D75D57">
        <w:rPr>
          <w:b/>
          <w:i/>
        </w:rPr>
        <w:t>SRI</w:t>
      </w:r>
      <w:r w:rsidR="00BD425B">
        <w:rPr>
          <w:b/>
        </w:rPr>
        <w:t xml:space="preserve"> </w:t>
      </w:r>
      <w:r w:rsidR="00B54E52" w:rsidRPr="00D05AD4">
        <w:rPr>
          <w:b/>
        </w:rPr>
        <w:t>de leur bâtiment</w:t>
      </w:r>
      <w:r w:rsidRPr="00D05AD4">
        <w:rPr>
          <w:b/>
        </w:rPr>
        <w:t xml:space="preserve"> peuvent accéder à la formation et à l’</w:t>
      </w:r>
      <w:r w:rsidR="00B54E52" w:rsidRPr="00D05AD4">
        <w:rPr>
          <w:b/>
        </w:rPr>
        <w:t>outil de calcul</w:t>
      </w:r>
      <w:r w:rsidR="00B54E52">
        <w:t xml:space="preserve">, sur </w:t>
      </w:r>
      <w:r w:rsidR="009C185D">
        <w:t>simple téléchargement</w:t>
      </w:r>
      <w:r w:rsidR="00B54E52">
        <w:t xml:space="preserve"> et après acceptation de la charte d’utilisation</w:t>
      </w:r>
      <w:r w:rsidR="00B53471">
        <w:t>. Dans ce cadre, le support technique</w:t>
      </w:r>
      <w:r w:rsidR="009C185D">
        <w:t xml:space="preserve"> du CEREMA </w:t>
      </w:r>
      <w:r w:rsidR="00B53471">
        <w:t>n’est pas disponible et le ré</w:t>
      </w:r>
      <w:r w:rsidR="00244F25">
        <w:t>sultat de l’auto-</w:t>
      </w:r>
      <w:r w:rsidR="00244F25" w:rsidRPr="00846E5F">
        <w:t xml:space="preserve">évaluation </w:t>
      </w:r>
      <w:r w:rsidR="007C7C9C" w:rsidRPr="00842950">
        <w:t>ne peut aboutir sur l’établissement d’un certificat</w:t>
      </w:r>
      <w:r w:rsidR="00B53471" w:rsidRPr="00842950">
        <w:t xml:space="preserve"> </w:t>
      </w:r>
      <w:r w:rsidR="00B53471">
        <w:t>(</w:t>
      </w:r>
      <w:r w:rsidR="007C7C9C">
        <w:t>et le résultat apporté</w:t>
      </w:r>
      <w:r w:rsidR="00244F25">
        <w:t xml:space="preserve"> n’engage que l’auto-évaluateur</w:t>
      </w:r>
      <w:r w:rsidR="00B53471">
        <w:t>).</w:t>
      </w:r>
    </w:p>
    <w:p w14:paraId="52735ABA" w14:textId="4326B14F" w:rsidR="00A70E25" w:rsidRDefault="00B54E52" w:rsidP="002A254F">
      <w:pPr>
        <w:jc w:val="both"/>
      </w:pPr>
      <w:r>
        <w:t xml:space="preserve">Les auto-évaluateurs peuvent mettre à disposition du CEREMA les données ainsi collectées, s’ils le souhaitent. </w:t>
      </w:r>
      <w:r w:rsidR="00A70E25">
        <w:t xml:space="preserve"> </w:t>
      </w:r>
    </w:p>
    <w:p w14:paraId="7564C1EE" w14:textId="77777777" w:rsidR="002A254F" w:rsidRDefault="002A254F" w:rsidP="001D592E">
      <w:pPr>
        <w:pStyle w:val="Sous-titre"/>
      </w:pPr>
    </w:p>
    <w:p w14:paraId="3570B947" w14:textId="77777777" w:rsidR="00E7299A" w:rsidRDefault="00622DCC" w:rsidP="001D592E">
      <w:pPr>
        <w:pStyle w:val="Sous-titre"/>
      </w:pPr>
      <w:r>
        <w:t>Bâtiments</w:t>
      </w:r>
      <w:r w:rsidR="00EE3BE8">
        <w:t xml:space="preserve"> recherchés</w:t>
      </w:r>
    </w:p>
    <w:p w14:paraId="4080AF56" w14:textId="6E93F028" w:rsidR="00F95CB3" w:rsidRDefault="00734D11" w:rsidP="00734D11">
      <w:pPr>
        <w:jc w:val="both"/>
      </w:pPr>
      <w:r>
        <w:t xml:space="preserve">La phase de test </w:t>
      </w:r>
      <w:r w:rsidRPr="006A159E">
        <w:rPr>
          <w:i/>
        </w:rPr>
        <w:t>SRI</w:t>
      </w:r>
      <w:r w:rsidR="006A159E">
        <w:t xml:space="preserve"> est ouverte à tout</w:t>
      </w:r>
      <w:r>
        <w:t xml:space="preserve"> type de bâtiment</w:t>
      </w:r>
      <w:r w:rsidR="006A159E">
        <w:t>s</w:t>
      </w:r>
      <w:r w:rsidR="00BD425B">
        <w:t>,</w:t>
      </w:r>
      <w:r>
        <w:t xml:space="preserve"> "résidentiel" et "non résidentiel"</w:t>
      </w:r>
      <w:r w:rsidR="00ED300C">
        <w:t xml:space="preserve">, le ministère du logement </w:t>
      </w:r>
      <w:r w:rsidR="00B54E52">
        <w:t>a</w:t>
      </w:r>
      <w:r w:rsidR="00BD425B">
        <w:t>yant</w:t>
      </w:r>
      <w:r w:rsidR="00B54E52">
        <w:t xml:space="preserve"> pour objectif d’</w:t>
      </w:r>
      <w:r w:rsidR="00ED300C">
        <w:t>obtenir des données d’évaluation sur chaque typologie</w:t>
      </w:r>
      <w:r>
        <w:t xml:space="preserve">. </w:t>
      </w:r>
    </w:p>
    <w:p w14:paraId="23D34837" w14:textId="47EA6E98" w:rsidR="00F95CB3" w:rsidRDefault="00F64BEF" w:rsidP="00734D11">
      <w:pPr>
        <w:jc w:val="both"/>
      </w:pPr>
      <w:r>
        <w:t>Dans ce cadre</w:t>
      </w:r>
      <w:r w:rsidR="00734D11">
        <w:t xml:space="preserve">, </w:t>
      </w:r>
      <w:r w:rsidR="00861022" w:rsidRPr="00F95CB3">
        <w:rPr>
          <w:b/>
        </w:rPr>
        <w:t>deux</w:t>
      </w:r>
      <w:r w:rsidR="00734D11" w:rsidRPr="00F95CB3">
        <w:rPr>
          <w:b/>
        </w:rPr>
        <w:t xml:space="preserve"> méthode</w:t>
      </w:r>
      <w:r w:rsidR="00861022" w:rsidRPr="00F95CB3">
        <w:rPr>
          <w:b/>
        </w:rPr>
        <w:t>s</w:t>
      </w:r>
      <w:r w:rsidR="00734D11" w:rsidRPr="00F95CB3">
        <w:rPr>
          <w:b/>
        </w:rPr>
        <w:t xml:space="preserve"> d'évaluation </w:t>
      </w:r>
      <w:r w:rsidR="00F95CB3">
        <w:rPr>
          <w:b/>
        </w:rPr>
        <w:t>seront analysées</w:t>
      </w:r>
      <w:r w:rsidR="00861022">
        <w:t xml:space="preserve">, </w:t>
      </w:r>
      <w:r>
        <w:t>l’</w:t>
      </w:r>
      <w:r w:rsidR="00F95CB3">
        <w:t>une</w:t>
      </w:r>
      <w:r>
        <w:t>,</w:t>
      </w:r>
      <w:r w:rsidR="00F95CB3">
        <w:t xml:space="preserve"> adaptée </w:t>
      </w:r>
      <w:r>
        <w:t>à</w:t>
      </w:r>
      <w:r w:rsidR="00734D11">
        <w:t xml:space="preserve"> </w:t>
      </w:r>
      <w:r w:rsidR="00622DCC">
        <w:t>l’évaluation d’</w:t>
      </w:r>
      <w:r w:rsidR="00B7106A">
        <w:t xml:space="preserve">un bâtiment résidentiel, </w:t>
      </w:r>
      <w:r w:rsidR="00622DCC">
        <w:t>une</w:t>
      </w:r>
      <w:r w:rsidR="00734D11">
        <w:t xml:space="preserve"> mais</w:t>
      </w:r>
      <w:r w:rsidR="00902A57">
        <w:t xml:space="preserve">on individuelle </w:t>
      </w:r>
      <w:r>
        <w:t>ou</w:t>
      </w:r>
      <w:r w:rsidR="00902A57">
        <w:t xml:space="preserve"> </w:t>
      </w:r>
      <w:r w:rsidR="00F95CB3">
        <w:t>un</w:t>
      </w:r>
      <w:r w:rsidR="00622DCC">
        <w:t xml:space="preserve"> logement</w:t>
      </w:r>
      <w:r w:rsidR="00902A57">
        <w:t xml:space="preserve"> collectif</w:t>
      </w:r>
      <w:r w:rsidR="00734D11">
        <w:t>,</w:t>
      </w:r>
      <w:r w:rsidR="00F95CB3">
        <w:t xml:space="preserve"> </w:t>
      </w:r>
      <w:r>
        <w:t>et l’autre</w:t>
      </w:r>
      <w:r w:rsidR="00861022">
        <w:t xml:space="preserve">, </w:t>
      </w:r>
      <w:r>
        <w:t xml:space="preserve">correspondant à </w:t>
      </w:r>
      <w:r w:rsidR="00B7106A">
        <w:t xml:space="preserve">des bâtiments non résidentiels, </w:t>
      </w:r>
      <w:r>
        <w:t>des</w:t>
      </w:r>
      <w:r w:rsidR="00734D11">
        <w:t xml:space="preserve"> </w:t>
      </w:r>
      <w:r w:rsidR="00622DCC">
        <w:t xml:space="preserve">bureaux, </w:t>
      </w:r>
      <w:r>
        <w:t xml:space="preserve">locaux </w:t>
      </w:r>
      <w:r w:rsidR="00622DCC">
        <w:t>d'enseignements ou</w:t>
      </w:r>
      <w:r w:rsidR="00734D11">
        <w:t xml:space="preserve"> de santé </w:t>
      </w:r>
      <w:r w:rsidR="00622DCC">
        <w:t>notamment</w:t>
      </w:r>
      <w:r w:rsidR="00734D11">
        <w:t xml:space="preserve">. </w:t>
      </w:r>
    </w:p>
    <w:p w14:paraId="66A77FD7" w14:textId="1B70082A" w:rsidR="00F95CB3" w:rsidRDefault="00CF1991" w:rsidP="00734D11">
      <w:pPr>
        <w:jc w:val="both"/>
      </w:pPr>
      <w:r>
        <w:t>La</w:t>
      </w:r>
      <w:r w:rsidR="005B318D" w:rsidRPr="006B082A">
        <w:t xml:space="preserve"> méthode d’</w:t>
      </w:r>
      <w:r w:rsidR="00734D11" w:rsidRPr="006B082A">
        <w:t>évaluation du potentiel d'intelligenc</w:t>
      </w:r>
      <w:r w:rsidR="00473A4A" w:rsidRPr="006B082A">
        <w:t xml:space="preserve">e </w:t>
      </w:r>
      <w:r w:rsidR="005B318D" w:rsidRPr="006B082A">
        <w:t xml:space="preserve">des bâtiments </w:t>
      </w:r>
      <w:r w:rsidR="005B318D" w:rsidRPr="006B082A">
        <w:rPr>
          <w:b/>
        </w:rPr>
        <w:t>non résidentiels</w:t>
      </w:r>
      <w:r w:rsidR="005B318D" w:rsidRPr="006B082A">
        <w:t xml:space="preserve"> </w:t>
      </w:r>
      <w:r w:rsidR="00D571AE">
        <w:t>es</w:t>
      </w:r>
      <w:r w:rsidR="00D571AE" w:rsidRPr="006B082A">
        <w:t xml:space="preserve">t </w:t>
      </w:r>
      <w:r w:rsidR="00734D11" w:rsidRPr="006B082A">
        <w:t>l</w:t>
      </w:r>
      <w:r w:rsidR="007C7C9C">
        <w:t>a</w:t>
      </w:r>
      <w:r w:rsidR="00734D11" w:rsidRPr="006B082A">
        <w:t xml:space="preserve"> plus</w:t>
      </w:r>
      <w:r w:rsidR="00734D11">
        <w:t xml:space="preserve"> </w:t>
      </w:r>
      <w:r w:rsidR="005B318D">
        <w:t>complète</w:t>
      </w:r>
      <w:r w:rsidR="00F26DFF" w:rsidRPr="00F95CB3">
        <w:rPr>
          <w:b/>
        </w:rPr>
        <w:t xml:space="preserve">. Aussi, </w:t>
      </w:r>
      <w:r w:rsidR="00B54E52">
        <w:rPr>
          <w:b/>
        </w:rPr>
        <w:t>c</w:t>
      </w:r>
      <w:r w:rsidR="002A1D03" w:rsidRPr="002A1D03">
        <w:rPr>
          <w:b/>
        </w:rPr>
        <w:t xml:space="preserve">et usage sera particulièrement suivi dans la phase de test et le panel étudié </w:t>
      </w:r>
      <w:r w:rsidR="005B318D">
        <w:rPr>
          <w:b/>
        </w:rPr>
        <w:t xml:space="preserve">plus important </w:t>
      </w:r>
      <w:r w:rsidR="005B318D" w:rsidRPr="005B318D">
        <w:t>que celui</w:t>
      </w:r>
      <w:r w:rsidR="005B318D">
        <w:rPr>
          <w:b/>
        </w:rPr>
        <w:t xml:space="preserve"> </w:t>
      </w:r>
      <w:r w:rsidR="001D613E">
        <w:t xml:space="preserve">pour les évaluations de bâtiments résidentiels. </w:t>
      </w:r>
    </w:p>
    <w:p w14:paraId="159DADCA" w14:textId="77777777" w:rsidR="00EF736C" w:rsidRDefault="00EF736C" w:rsidP="00734D11">
      <w:pPr>
        <w:jc w:val="both"/>
      </w:pPr>
    </w:p>
    <w:p w14:paraId="42E04EB8" w14:textId="77777777" w:rsidR="002A254F" w:rsidRPr="002A254F" w:rsidRDefault="002A254F" w:rsidP="002A254F">
      <w:pPr>
        <w:numPr>
          <w:ilvl w:val="1"/>
          <w:numId w:val="0"/>
        </w:numPr>
        <w:jc w:val="both"/>
        <w:rPr>
          <w:rFonts w:eastAsiaTheme="minorEastAsia"/>
          <w:color w:val="385623" w:themeColor="accent6" w:themeShade="80"/>
          <w:spacing w:val="15"/>
        </w:rPr>
      </w:pPr>
      <w:r>
        <w:rPr>
          <w:rFonts w:eastAsiaTheme="minorEastAsia"/>
          <w:color w:val="385623" w:themeColor="accent6" w:themeShade="80"/>
          <w:spacing w:val="15"/>
        </w:rPr>
        <w:t>Proposition</w:t>
      </w:r>
      <w:r w:rsidRPr="002A254F">
        <w:rPr>
          <w:rFonts w:eastAsiaTheme="minorEastAsia"/>
          <w:color w:val="385623" w:themeColor="accent6" w:themeShade="80"/>
          <w:spacing w:val="15"/>
        </w:rPr>
        <w:t xml:space="preserve"> de bâtiments à évaluer</w:t>
      </w:r>
    </w:p>
    <w:p w14:paraId="3238CD19" w14:textId="68FB1EE8" w:rsidR="002A254F" w:rsidRDefault="002A254F" w:rsidP="002A254F">
      <w:pPr>
        <w:jc w:val="both"/>
      </w:pPr>
      <w:r w:rsidRPr="002A254F">
        <w:t xml:space="preserve">Les professionnels désireux de participer à l’expérimentation peuvent </w:t>
      </w:r>
      <w:r w:rsidR="00F95CB3">
        <w:t>indiquer</w:t>
      </w:r>
      <w:r w:rsidRPr="002A254F">
        <w:t xml:space="preserve"> leur volonté d’évaluer un</w:t>
      </w:r>
      <w:r w:rsidR="00F95CB3">
        <w:t xml:space="preserve"> ou </w:t>
      </w:r>
      <w:r w:rsidR="005B318D">
        <w:t>plusieurs</w:t>
      </w:r>
      <w:r w:rsidRPr="002A254F">
        <w:t xml:space="preserve"> bâtiment</w:t>
      </w:r>
      <w:r w:rsidR="00F95CB3">
        <w:t>s</w:t>
      </w:r>
      <w:r w:rsidRPr="002A254F">
        <w:t xml:space="preserve"> dont ils sont propriétaires ou dont le</w:t>
      </w:r>
      <w:r w:rsidR="00F95CB3">
        <w:t>s</w:t>
      </w:r>
      <w:r w:rsidRPr="002A254F">
        <w:t xml:space="preserve"> propriétaire</w:t>
      </w:r>
      <w:r w:rsidR="00F95CB3">
        <w:t>s</w:t>
      </w:r>
      <w:r w:rsidRPr="002A254F">
        <w:t xml:space="preserve"> accepte</w:t>
      </w:r>
      <w:r w:rsidR="00F95CB3">
        <w:t>nt</w:t>
      </w:r>
      <w:r w:rsidRPr="002A254F">
        <w:t xml:space="preserve"> de réaliser </w:t>
      </w:r>
      <w:r w:rsidRPr="002A254F">
        <w:lastRenderedPageBreak/>
        <w:t xml:space="preserve">l’évaluation </w:t>
      </w:r>
      <w:r w:rsidRPr="002A254F">
        <w:rPr>
          <w:i/>
        </w:rPr>
        <w:t>SRI</w:t>
      </w:r>
      <w:r w:rsidR="00473A4A">
        <w:rPr>
          <w:rStyle w:val="Appelnotedebasdep"/>
        </w:rPr>
        <w:footnoteReference w:id="1"/>
      </w:r>
      <w:r w:rsidRPr="002A254F">
        <w:t>.</w:t>
      </w:r>
      <w:r w:rsidR="00473A4A" w:rsidRPr="00473A4A">
        <w:rPr>
          <w:rStyle w:val="Appelnotedebasdep"/>
        </w:rPr>
        <w:t xml:space="preserve"> </w:t>
      </w:r>
      <w:r w:rsidRPr="002A254F">
        <w:t xml:space="preserve">Pour ce faire, il suffit de </w:t>
      </w:r>
      <w:r w:rsidRPr="002A254F">
        <w:rPr>
          <w:b/>
        </w:rPr>
        <w:t xml:space="preserve">préciser dans le formulaire, </w:t>
      </w:r>
      <w:r w:rsidRPr="002A254F">
        <w:t>à la rubrique correspondante</w:t>
      </w:r>
      <w:r w:rsidR="00051A76">
        <w:rPr>
          <w:b/>
        </w:rPr>
        <w:t>,</w:t>
      </w:r>
      <w:r w:rsidRPr="002A254F">
        <w:rPr>
          <w:b/>
        </w:rPr>
        <w:t xml:space="preserve"> le nombre de bâtiments</w:t>
      </w:r>
      <w:r w:rsidR="00051A76">
        <w:rPr>
          <w:b/>
        </w:rPr>
        <w:t xml:space="preserve"> </w:t>
      </w:r>
      <w:r w:rsidR="005B318D">
        <w:rPr>
          <w:b/>
        </w:rPr>
        <w:t>« à disposition »</w:t>
      </w:r>
      <w:r w:rsidR="00051A76">
        <w:rPr>
          <w:b/>
        </w:rPr>
        <w:t xml:space="preserve"> pour une évaluation</w:t>
      </w:r>
      <w:r w:rsidRPr="002A254F">
        <w:rPr>
          <w:b/>
        </w:rPr>
        <w:t xml:space="preserve"> </w:t>
      </w:r>
      <w:r w:rsidR="005B318D">
        <w:rPr>
          <w:b/>
        </w:rPr>
        <w:t xml:space="preserve">ainsi que </w:t>
      </w:r>
      <w:r w:rsidRPr="002A254F">
        <w:rPr>
          <w:b/>
        </w:rPr>
        <w:t>leur typologie</w:t>
      </w:r>
      <w:r w:rsidRPr="002A254F">
        <w:t xml:space="preserve">. </w:t>
      </w:r>
    </w:p>
    <w:p w14:paraId="1ACA15BC" w14:textId="77777777" w:rsidR="00EF736C" w:rsidRDefault="00B54E52" w:rsidP="002A254F">
      <w:pPr>
        <w:jc w:val="both"/>
      </w:pPr>
      <w:r>
        <w:t xml:space="preserve">Dans le cadre de sa sélection, le ministère </w:t>
      </w:r>
      <w:r w:rsidR="00D05AD4">
        <w:t xml:space="preserve">du logement </w:t>
      </w:r>
      <w:r w:rsidRPr="00D05AD4">
        <w:rPr>
          <w:b/>
        </w:rPr>
        <w:t>privilégiera les professionnels proposant des bâtiments à évaluer</w:t>
      </w:r>
      <w:r>
        <w:t xml:space="preserve">, </w:t>
      </w:r>
      <w:r w:rsidR="00EF736C">
        <w:t>afin de faciliter</w:t>
      </w:r>
      <w:r>
        <w:t xml:space="preserve"> l’adéquation </w:t>
      </w:r>
      <w:r w:rsidR="00D05AD4">
        <w:t>entre</w:t>
      </w:r>
      <w:r>
        <w:t xml:space="preserve"> la typologie du bâtiment </w:t>
      </w:r>
      <w:r w:rsidR="00D05AD4">
        <w:t>et</w:t>
      </w:r>
      <w:r w:rsidR="00EF736C">
        <w:t xml:space="preserve"> la compétence du professionnel, ainsi que la situation géographique. </w:t>
      </w:r>
    </w:p>
    <w:p w14:paraId="04DD8F5D" w14:textId="222C86C3" w:rsidR="00B54E52" w:rsidRDefault="006F467E" w:rsidP="002A254F">
      <w:pPr>
        <w:jc w:val="both"/>
      </w:pPr>
      <w:r>
        <w:t>T</w:t>
      </w:r>
      <w:r w:rsidR="00B54E52">
        <w:t xml:space="preserve">outefois, </w:t>
      </w:r>
      <w:r>
        <w:t>l</w:t>
      </w:r>
      <w:r w:rsidR="00B54E52">
        <w:t>es professionnels n’ayant pas identifié de bâtiments</w:t>
      </w:r>
      <w:r w:rsidR="005703D8">
        <w:t xml:space="preserve"> à évaluer,</w:t>
      </w:r>
      <w:r w:rsidR="00B54E52">
        <w:t xml:space="preserve"> </w:t>
      </w:r>
      <w:r>
        <w:t xml:space="preserve">peuvent manifester </w:t>
      </w:r>
      <w:r w:rsidR="00D05AD4">
        <w:t>leur souhait de participer</w:t>
      </w:r>
      <w:r>
        <w:t xml:space="preserve"> à l’expérimentation.</w:t>
      </w:r>
      <w:r w:rsidR="00D05AD4">
        <w:t xml:space="preserve"> </w:t>
      </w:r>
      <w:r>
        <w:rPr>
          <w:b/>
        </w:rPr>
        <w:t>L</w:t>
      </w:r>
      <w:r w:rsidR="00D05AD4" w:rsidRPr="00EF736C">
        <w:rPr>
          <w:b/>
        </w:rPr>
        <w:t xml:space="preserve">e ministère et le CEREMA </w:t>
      </w:r>
      <w:r>
        <w:rPr>
          <w:b/>
        </w:rPr>
        <w:t xml:space="preserve">examineront les possibilités </w:t>
      </w:r>
      <w:r w:rsidR="00D05AD4" w:rsidRPr="00EF736C">
        <w:rPr>
          <w:b/>
        </w:rPr>
        <w:t xml:space="preserve">de </w:t>
      </w:r>
      <w:r>
        <w:rPr>
          <w:b/>
        </w:rPr>
        <w:t>mise</w:t>
      </w:r>
      <w:r w:rsidR="00D05AD4" w:rsidRPr="00EF736C">
        <w:rPr>
          <w:b/>
        </w:rPr>
        <w:t xml:space="preserve"> en relation avec un propriétaire</w:t>
      </w:r>
      <w:r>
        <w:rPr>
          <w:b/>
        </w:rPr>
        <w:t xml:space="preserve"> le cas échéant</w:t>
      </w:r>
      <w:r w:rsidR="005D6783">
        <w:rPr>
          <w:b/>
        </w:rPr>
        <w:t xml:space="preserve"> </w:t>
      </w:r>
      <w:r w:rsidR="00BF6BB4">
        <w:t>(</w:t>
      </w:r>
      <w:r w:rsidR="00D05AD4">
        <w:t xml:space="preserve">sans </w:t>
      </w:r>
      <w:r w:rsidR="00D05AD4" w:rsidRPr="00EF736C">
        <w:rPr>
          <w:b/>
        </w:rPr>
        <w:t>aucune garantie toutefois</w:t>
      </w:r>
      <w:r w:rsidR="00D05AD4">
        <w:t>, à ce stade.</w:t>
      </w:r>
      <w:r w:rsidR="00BF6BB4">
        <w:t>)</w:t>
      </w:r>
    </w:p>
    <w:p w14:paraId="213A99A5" w14:textId="0B108455" w:rsidR="00A553A2" w:rsidRPr="002A254F" w:rsidRDefault="00A553A2" w:rsidP="002A254F">
      <w:pPr>
        <w:jc w:val="both"/>
      </w:pPr>
      <w:r w:rsidRPr="00A553A2">
        <w:rPr>
          <w:b/>
        </w:rPr>
        <w:t>Des propriétaires</w:t>
      </w:r>
      <w:r>
        <w:t xml:space="preserve"> désireux de faire évalu</w:t>
      </w:r>
      <w:r w:rsidR="00DC18EE">
        <w:t xml:space="preserve">er leurs bâtiments peuvent </w:t>
      </w:r>
      <w:r>
        <w:t xml:space="preserve">consulter la base de données des évaluateurs sélectionnés par le ministère du logement. Si le propriétaire souhaite obtenir un certificat SRI, son projet devra s’inscrire dans la phase de test menée par le ministère. </w:t>
      </w:r>
      <w:r w:rsidR="00DC18EE">
        <w:t>Pour cela, c’est l’évaluateur</w:t>
      </w:r>
      <w:r w:rsidR="00BC19E5">
        <w:t xml:space="preserve"> sélectionné</w:t>
      </w:r>
      <w:r w:rsidR="00DC18EE">
        <w:t xml:space="preserve"> qui devra soumettre ce projet </w:t>
      </w:r>
      <w:r w:rsidR="00BC19E5">
        <w:t xml:space="preserve">d’évaluation </w:t>
      </w:r>
      <w:r w:rsidR="00DC18EE">
        <w:t xml:space="preserve">au ministère pour vérifier qu’il s’intègre bien dans la phase de test. </w:t>
      </w:r>
    </w:p>
    <w:p w14:paraId="48211345" w14:textId="77777777" w:rsidR="002A254F" w:rsidRDefault="002A254F" w:rsidP="00734D11">
      <w:pPr>
        <w:jc w:val="both"/>
      </w:pPr>
    </w:p>
    <w:p w14:paraId="37ED1A14" w14:textId="77777777" w:rsidR="00E7299A" w:rsidRDefault="00E7299A" w:rsidP="00E7299A">
      <w:pPr>
        <w:pStyle w:val="Titre1"/>
      </w:pPr>
      <w:r>
        <w:t>ACCOMPAGNEMENT</w:t>
      </w:r>
    </w:p>
    <w:p w14:paraId="1E0E4D34" w14:textId="77777777" w:rsidR="005D5A7C" w:rsidRPr="005D5A7C" w:rsidRDefault="005D5A7C" w:rsidP="005D5A7C"/>
    <w:p w14:paraId="25B498DC" w14:textId="77777777" w:rsidR="00E7299A" w:rsidRDefault="00EE3BE8" w:rsidP="00EE3BE8">
      <w:pPr>
        <w:pStyle w:val="Sous-titre"/>
      </w:pPr>
      <w:r>
        <w:t>Formation et information</w:t>
      </w:r>
    </w:p>
    <w:p w14:paraId="1C590904" w14:textId="4B16AF49" w:rsidR="00181A5F" w:rsidRDefault="00D05AD4" w:rsidP="00B05232">
      <w:pPr>
        <w:jc w:val="both"/>
      </w:pPr>
      <w:r>
        <w:t>L</w:t>
      </w:r>
      <w:r w:rsidR="00222C8A">
        <w:t xml:space="preserve">es professionnels </w:t>
      </w:r>
      <w:r w:rsidR="005317D7">
        <w:t>bénéficient d’une formation à distance,</w:t>
      </w:r>
      <w:r w:rsidR="00326A23">
        <w:t xml:space="preserve"> d’environ 1 jour,</w:t>
      </w:r>
      <w:r w:rsidR="005317D7">
        <w:t xml:space="preserve"> sous</w:t>
      </w:r>
      <w:r w:rsidR="005A117B">
        <w:t xml:space="preserve"> forme de mallette pédago</w:t>
      </w:r>
      <w:r w:rsidR="00051A76">
        <w:t xml:space="preserve">gique contenant divers supports techniques. La mallette sera téléchargeable sur le </w:t>
      </w:r>
      <w:r w:rsidR="00051A76" w:rsidRPr="005237EA">
        <w:t>site RT-RE-bâtiment.</w:t>
      </w:r>
      <w:r w:rsidR="00B05232">
        <w:t xml:space="preserve"> Un </w:t>
      </w:r>
      <w:r w:rsidR="00B05232" w:rsidRPr="00B05232">
        <w:rPr>
          <w:b/>
        </w:rPr>
        <w:t xml:space="preserve">questionnaire </w:t>
      </w:r>
      <w:r w:rsidR="00665082">
        <w:rPr>
          <w:b/>
        </w:rPr>
        <w:t xml:space="preserve">en ligne, </w:t>
      </w:r>
      <w:r w:rsidR="00B05232" w:rsidRPr="00B05232">
        <w:rPr>
          <w:b/>
        </w:rPr>
        <w:t>à la fin de la formation</w:t>
      </w:r>
      <w:r w:rsidR="00665082">
        <w:rPr>
          <w:b/>
        </w:rPr>
        <w:t>,</w:t>
      </w:r>
      <w:r w:rsidR="00B05232">
        <w:t xml:space="preserve"> sera à remplir par le professionnel, attestant du bon suivi.</w:t>
      </w:r>
    </w:p>
    <w:p w14:paraId="404F5724" w14:textId="49DFCE7D" w:rsidR="000C0CB8" w:rsidRDefault="000C0CB8" w:rsidP="00B05232">
      <w:pPr>
        <w:jc w:val="both"/>
      </w:pPr>
      <w:r>
        <w:t>Une FAQ a été créée pour répondre aux questions courantes.</w:t>
      </w:r>
    </w:p>
    <w:p w14:paraId="1EBB90CF" w14:textId="77777777" w:rsidR="005D5A7C" w:rsidRPr="00181A5F" w:rsidRDefault="005D5A7C" w:rsidP="00B05232">
      <w:pPr>
        <w:jc w:val="both"/>
      </w:pPr>
    </w:p>
    <w:p w14:paraId="1CAF0B13" w14:textId="77777777" w:rsidR="00EE3BE8" w:rsidRDefault="00EE3BE8" w:rsidP="00EE3BE8">
      <w:pPr>
        <w:pStyle w:val="Sous-titre"/>
      </w:pPr>
      <w:r>
        <w:t xml:space="preserve">Mise en relation </w:t>
      </w:r>
      <w:r w:rsidR="000D3AAC">
        <w:t xml:space="preserve">des professionnels </w:t>
      </w:r>
      <w:r>
        <w:t>avec des propriétaires</w:t>
      </w:r>
    </w:p>
    <w:p w14:paraId="6FF301BF" w14:textId="182AA367" w:rsidR="005D5A7C" w:rsidRDefault="00CF1991" w:rsidP="00051A76">
      <w:pPr>
        <w:jc w:val="both"/>
      </w:pPr>
      <w:r>
        <w:t>Concernant l</w:t>
      </w:r>
      <w:r w:rsidR="00051A76">
        <w:t xml:space="preserve">es professionnels souhaitant procéder à l’expérimentation SRI mais ne disposant pas de bâtiment à évaluer </w:t>
      </w:r>
      <w:r w:rsidR="00A24737">
        <w:t>peuvent</w:t>
      </w:r>
      <w:r w:rsidR="00051A76">
        <w:t xml:space="preserve"> s’inscrire</w:t>
      </w:r>
      <w:r>
        <w:t> : i</w:t>
      </w:r>
      <w:r w:rsidR="00051A76">
        <w:t>l est possible que le ministère du logement identifie des propriétaires ayant des bâtiments à évaluer mais</w:t>
      </w:r>
      <w:r w:rsidR="00A24737">
        <w:t xml:space="preserve"> que ceux-ci</w:t>
      </w:r>
      <w:r w:rsidR="00051A76">
        <w:t xml:space="preserve"> n’a</w:t>
      </w:r>
      <w:r w:rsidR="00A24737">
        <w:t>ien</w:t>
      </w:r>
      <w:r w:rsidR="00051A76">
        <w:t xml:space="preserve">t pas la </w:t>
      </w:r>
      <w:r w:rsidR="00A24737">
        <w:t>compétence</w:t>
      </w:r>
      <w:r w:rsidR="00051A76">
        <w:t xml:space="preserve"> technique </w:t>
      </w:r>
      <w:r w:rsidR="00A24737">
        <w:t xml:space="preserve">pour calculer l’indicateur </w:t>
      </w:r>
      <w:r w:rsidR="00A24737" w:rsidRPr="00A24737">
        <w:rPr>
          <w:i/>
        </w:rPr>
        <w:t>SRI</w:t>
      </w:r>
      <w:r w:rsidR="00051A76">
        <w:t xml:space="preserve">. Aussi, </w:t>
      </w:r>
      <w:r w:rsidR="00051A76" w:rsidRPr="000D3AAC">
        <w:rPr>
          <w:b/>
        </w:rPr>
        <w:t xml:space="preserve">il </w:t>
      </w:r>
      <w:r w:rsidR="00EF736C">
        <w:rPr>
          <w:b/>
        </w:rPr>
        <w:t>peut être envisagé</w:t>
      </w:r>
      <w:r w:rsidR="00051A76" w:rsidRPr="000D3AAC">
        <w:rPr>
          <w:b/>
        </w:rPr>
        <w:t xml:space="preserve"> en fonction du profil du professionnel et d</w:t>
      </w:r>
      <w:r w:rsidR="00EF736C">
        <w:rPr>
          <w:b/>
        </w:rPr>
        <w:t>es</w:t>
      </w:r>
      <w:r w:rsidR="00051A76" w:rsidRPr="000D3AAC">
        <w:rPr>
          <w:b/>
        </w:rPr>
        <w:t xml:space="preserve"> bâtiment</w:t>
      </w:r>
      <w:r w:rsidR="00EF736C">
        <w:rPr>
          <w:b/>
        </w:rPr>
        <w:t>s identifiés</w:t>
      </w:r>
      <w:r w:rsidR="00051A76" w:rsidRPr="000D3AAC">
        <w:rPr>
          <w:b/>
        </w:rPr>
        <w:t xml:space="preserve"> de mettre en relation les différentes parties</w:t>
      </w:r>
      <w:r w:rsidR="00051A76">
        <w:t xml:space="preserve">. </w:t>
      </w:r>
    </w:p>
    <w:p w14:paraId="1B25BC4F" w14:textId="77777777" w:rsidR="005B318D" w:rsidRPr="00051A76" w:rsidRDefault="005B318D" w:rsidP="00051A76">
      <w:pPr>
        <w:jc w:val="both"/>
      </w:pPr>
    </w:p>
    <w:p w14:paraId="5896DE77" w14:textId="77777777" w:rsidR="00EE3BE8" w:rsidRDefault="00EE3BE8" w:rsidP="005B318D">
      <w:pPr>
        <w:pStyle w:val="Sous-titre"/>
        <w:jc w:val="both"/>
      </w:pPr>
      <w:r>
        <w:t>Suivi et vérification des évaluations</w:t>
      </w:r>
      <w:r w:rsidR="000D3AAC">
        <w:t xml:space="preserve"> menées par les professionnels</w:t>
      </w:r>
    </w:p>
    <w:p w14:paraId="0A19B4AD" w14:textId="25984B56" w:rsidR="005B318D" w:rsidRDefault="005B318D" w:rsidP="005B318D">
      <w:pPr>
        <w:jc w:val="both"/>
      </w:pPr>
      <w:r>
        <w:t xml:space="preserve">Par ailleurs, </w:t>
      </w:r>
      <w:r w:rsidRPr="005B318D">
        <w:rPr>
          <w:b/>
        </w:rPr>
        <w:t>les professionnels seront accompagnés</w:t>
      </w:r>
      <w:r>
        <w:t xml:space="preserve"> dans </w:t>
      </w:r>
      <w:r w:rsidR="00AA51F3">
        <w:t xml:space="preserve">le cadre de leur </w:t>
      </w:r>
      <w:r>
        <w:t xml:space="preserve">participation à l’expérimentation par </w:t>
      </w:r>
      <w:r w:rsidRPr="005B318D">
        <w:rPr>
          <w:b/>
        </w:rPr>
        <w:t>les experts du CEREMA</w:t>
      </w:r>
      <w:r>
        <w:t xml:space="preserve"> qui assureront les échanges techniques.</w:t>
      </w:r>
    </w:p>
    <w:p w14:paraId="2EE17298" w14:textId="62C69A7C" w:rsidR="00051A76" w:rsidRDefault="005B318D" w:rsidP="005B318D">
      <w:pPr>
        <w:jc w:val="both"/>
      </w:pPr>
      <w:r>
        <w:t>De leur côté, l</w:t>
      </w:r>
      <w:r w:rsidR="00051A76">
        <w:t xml:space="preserve">es </w:t>
      </w:r>
      <w:r w:rsidR="00051A76" w:rsidRPr="00ED536D">
        <w:rPr>
          <w:b/>
        </w:rPr>
        <w:t xml:space="preserve">professionnels inscrits s’engagent à réaliser l’évaluation </w:t>
      </w:r>
      <w:r w:rsidR="00051A76" w:rsidRPr="00D75D57">
        <w:rPr>
          <w:b/>
          <w:i/>
        </w:rPr>
        <w:t>SRI</w:t>
      </w:r>
      <w:r w:rsidR="00051A76" w:rsidRPr="00ED536D">
        <w:rPr>
          <w:b/>
        </w:rPr>
        <w:t xml:space="preserve"> selon les règles de calcul adaptées</w:t>
      </w:r>
      <w:r w:rsidR="00051A76">
        <w:t xml:space="preserve"> au territoire français et à </w:t>
      </w:r>
      <w:r w:rsidR="00051A76" w:rsidRPr="00ED536D">
        <w:rPr>
          <w:b/>
        </w:rPr>
        <w:t>répondre à l’ensemble des sollicitations du C</w:t>
      </w:r>
      <w:r>
        <w:rPr>
          <w:b/>
        </w:rPr>
        <w:t>EREMA</w:t>
      </w:r>
      <w:r w:rsidR="00F9548C">
        <w:t>,</w:t>
      </w:r>
      <w:r w:rsidR="00051A76">
        <w:t xml:space="preserve"> dans le cadre du suivi de l’utilisation de la méthode, de l’outil et de la vérification des calculs. </w:t>
      </w:r>
    </w:p>
    <w:p w14:paraId="7C3BECA8" w14:textId="74A6F4D9" w:rsidR="005D6783" w:rsidRDefault="00ED536D" w:rsidP="000C0CB8">
      <w:pPr>
        <w:jc w:val="both"/>
        <w:rPr>
          <w:b/>
        </w:rPr>
      </w:pPr>
      <w:r>
        <w:t xml:space="preserve">Ils s’engagent également, à travers </w:t>
      </w:r>
      <w:r w:rsidRPr="00ED536D">
        <w:t>l’acceptation d’une charte, à faire une</w:t>
      </w:r>
      <w:r w:rsidRPr="00ED536D">
        <w:rPr>
          <w:b/>
        </w:rPr>
        <w:t xml:space="preserve"> utilisation </w:t>
      </w:r>
      <w:r>
        <w:rPr>
          <w:b/>
        </w:rPr>
        <w:t>correcte</w:t>
      </w:r>
      <w:r w:rsidRPr="00ED536D">
        <w:rPr>
          <w:b/>
        </w:rPr>
        <w:t xml:space="preserve"> de l’outil de calcul </w:t>
      </w:r>
      <w:r w:rsidRPr="00ED536D">
        <w:rPr>
          <w:b/>
          <w:i/>
        </w:rPr>
        <w:t>SRI</w:t>
      </w:r>
      <w:r w:rsidRPr="00ED536D">
        <w:rPr>
          <w:b/>
        </w:rPr>
        <w:t>.</w:t>
      </w:r>
    </w:p>
    <w:p w14:paraId="15C65491" w14:textId="77777777" w:rsidR="00EB08ED" w:rsidRDefault="005D6783" w:rsidP="000C0CB8">
      <w:pPr>
        <w:jc w:val="both"/>
        <w:rPr>
          <w:b/>
        </w:rPr>
      </w:pPr>
      <w:r>
        <w:rPr>
          <w:b/>
        </w:rPr>
        <w:br w:type="column"/>
      </w:r>
    </w:p>
    <w:p w14:paraId="041BF74C" w14:textId="77777777" w:rsidR="000C0CB8" w:rsidRDefault="000C0CB8" w:rsidP="000C0CB8">
      <w:pPr>
        <w:pStyle w:val="Titre1"/>
      </w:pPr>
      <w:r>
        <w:t>CALENDRIER</w:t>
      </w:r>
    </w:p>
    <w:p w14:paraId="3FEAD409" w14:textId="77777777" w:rsidR="000C0CB8" w:rsidRDefault="000C0CB8" w:rsidP="000C0CB8"/>
    <w:tbl>
      <w:tblPr>
        <w:tblStyle w:val="Grilledutableau"/>
        <w:tblW w:w="0" w:type="auto"/>
        <w:tblLook w:val="04A0" w:firstRow="1" w:lastRow="0" w:firstColumn="1" w:lastColumn="0" w:noHBand="0" w:noVBand="1"/>
      </w:tblPr>
      <w:tblGrid>
        <w:gridCol w:w="4106"/>
        <w:gridCol w:w="4956"/>
      </w:tblGrid>
      <w:tr w:rsidR="000C0CB8" w14:paraId="0FC6AB4E" w14:textId="77777777" w:rsidTr="00381BEB">
        <w:tc>
          <w:tcPr>
            <w:tcW w:w="4106" w:type="dxa"/>
            <w:shd w:val="clear" w:color="auto" w:fill="auto"/>
          </w:tcPr>
          <w:p w14:paraId="2ED5244E" w14:textId="77777777" w:rsidR="000C0CB8" w:rsidRPr="00FA469C" w:rsidRDefault="000C0CB8" w:rsidP="00381BEB">
            <w:pPr>
              <w:rPr>
                <w:b/>
                <w:sz w:val="24"/>
                <w:szCs w:val="24"/>
              </w:rPr>
            </w:pPr>
            <w:r w:rsidRPr="006B082A">
              <w:rPr>
                <w:b/>
                <w:sz w:val="24"/>
                <w:szCs w:val="24"/>
              </w:rPr>
              <w:t>Périodes</w:t>
            </w:r>
          </w:p>
        </w:tc>
        <w:tc>
          <w:tcPr>
            <w:tcW w:w="4956" w:type="dxa"/>
          </w:tcPr>
          <w:p w14:paraId="41DE7F4E" w14:textId="77777777" w:rsidR="000C0CB8" w:rsidRPr="00FA469C" w:rsidRDefault="000C0CB8" w:rsidP="00381BEB">
            <w:pPr>
              <w:rPr>
                <w:b/>
                <w:sz w:val="24"/>
                <w:szCs w:val="24"/>
              </w:rPr>
            </w:pPr>
            <w:r w:rsidRPr="00FA469C">
              <w:rPr>
                <w:b/>
                <w:sz w:val="24"/>
                <w:szCs w:val="24"/>
              </w:rPr>
              <w:t>Phase de test SRI</w:t>
            </w:r>
          </w:p>
        </w:tc>
      </w:tr>
      <w:tr w:rsidR="000C0CB8" w14:paraId="61FCF068" w14:textId="77777777" w:rsidTr="00381BEB">
        <w:tc>
          <w:tcPr>
            <w:tcW w:w="4106" w:type="dxa"/>
          </w:tcPr>
          <w:p w14:paraId="53A68C40" w14:textId="28880DC8" w:rsidR="000C0CB8" w:rsidRDefault="000C0CB8" w:rsidP="00680498">
            <w:r>
              <w:t xml:space="preserve">A partir du </w:t>
            </w:r>
            <w:r w:rsidR="007D1FF4">
              <w:t>1</w:t>
            </w:r>
            <w:r w:rsidR="007D1FF4" w:rsidRPr="007D1FF4">
              <w:rPr>
                <w:vertAlign w:val="superscript"/>
              </w:rPr>
              <w:t>er</w:t>
            </w:r>
            <w:r w:rsidR="007D1FF4">
              <w:t xml:space="preserve"> </w:t>
            </w:r>
            <w:r w:rsidR="00680498">
              <w:t xml:space="preserve">juillet </w:t>
            </w:r>
            <w:r>
              <w:t>2022</w:t>
            </w:r>
          </w:p>
        </w:tc>
        <w:tc>
          <w:tcPr>
            <w:tcW w:w="4956" w:type="dxa"/>
          </w:tcPr>
          <w:p w14:paraId="375F66F1" w14:textId="77777777" w:rsidR="000C0CB8" w:rsidRDefault="000C0CB8" w:rsidP="00381BEB">
            <w:r>
              <w:t>Information des professionnels</w:t>
            </w:r>
          </w:p>
        </w:tc>
      </w:tr>
      <w:tr w:rsidR="000C0CB8" w14:paraId="7248BDC7" w14:textId="77777777" w:rsidTr="00381BEB">
        <w:tc>
          <w:tcPr>
            <w:tcW w:w="4106" w:type="dxa"/>
          </w:tcPr>
          <w:p w14:paraId="3F9FC336" w14:textId="06858AF9" w:rsidR="000C0CB8" w:rsidRDefault="000C0CB8" w:rsidP="00680498">
            <w:r>
              <w:t xml:space="preserve">A partir du </w:t>
            </w:r>
            <w:r w:rsidR="00C029BA">
              <w:t xml:space="preserve">15 </w:t>
            </w:r>
            <w:r w:rsidR="00680498">
              <w:t xml:space="preserve">juillet </w:t>
            </w:r>
            <w:r>
              <w:t>2022</w:t>
            </w:r>
          </w:p>
        </w:tc>
        <w:tc>
          <w:tcPr>
            <w:tcW w:w="4956" w:type="dxa"/>
          </w:tcPr>
          <w:p w14:paraId="6F10CB00" w14:textId="77777777" w:rsidR="000C0CB8" w:rsidRDefault="000C0CB8" w:rsidP="00381BEB">
            <w:r>
              <w:t>Formation des candidats (accessible également pour l’auto-évaluation)</w:t>
            </w:r>
          </w:p>
        </w:tc>
      </w:tr>
      <w:tr w:rsidR="000C0CB8" w14:paraId="302E83B6" w14:textId="77777777" w:rsidTr="00381BEB">
        <w:tc>
          <w:tcPr>
            <w:tcW w:w="4106" w:type="dxa"/>
          </w:tcPr>
          <w:p w14:paraId="6BA56204" w14:textId="2B333B81" w:rsidR="000C0CB8" w:rsidRDefault="000C0CB8" w:rsidP="0046127F">
            <w:r>
              <w:t xml:space="preserve">Du </w:t>
            </w:r>
            <w:r w:rsidR="0046127F" w:rsidRPr="0046127F">
              <w:t xml:space="preserve">1er août au 1er novembre </w:t>
            </w:r>
            <w:r>
              <w:t>2022</w:t>
            </w:r>
          </w:p>
        </w:tc>
        <w:tc>
          <w:tcPr>
            <w:tcW w:w="4956" w:type="dxa"/>
          </w:tcPr>
          <w:p w14:paraId="42AE34DB" w14:textId="77777777" w:rsidR="000C0CB8" w:rsidRDefault="000C0CB8" w:rsidP="00381BEB">
            <w:r>
              <w:t>Ouverture des candidatures</w:t>
            </w:r>
          </w:p>
        </w:tc>
      </w:tr>
      <w:tr w:rsidR="000C0CB8" w14:paraId="1DAED8F7" w14:textId="77777777" w:rsidTr="00381BEB">
        <w:tc>
          <w:tcPr>
            <w:tcW w:w="4106" w:type="dxa"/>
          </w:tcPr>
          <w:p w14:paraId="037FA1E8" w14:textId="58D5CED4" w:rsidR="000C0CB8" w:rsidRDefault="000C0CB8" w:rsidP="0046127F">
            <w:r>
              <w:t xml:space="preserve">Du </w:t>
            </w:r>
            <w:r w:rsidR="0046127F" w:rsidRPr="0046127F">
              <w:t xml:space="preserve">1er au 30 novembre </w:t>
            </w:r>
            <w:r>
              <w:t>2022</w:t>
            </w:r>
          </w:p>
        </w:tc>
        <w:tc>
          <w:tcPr>
            <w:tcW w:w="4956" w:type="dxa"/>
          </w:tcPr>
          <w:p w14:paraId="5272EB04" w14:textId="77777777" w:rsidR="000C0CB8" w:rsidRDefault="000C0CB8" w:rsidP="00381BEB">
            <w:r>
              <w:t>Sélection des candidats par le ministère</w:t>
            </w:r>
          </w:p>
        </w:tc>
      </w:tr>
      <w:tr w:rsidR="000C0CB8" w14:paraId="7C3AD11C" w14:textId="77777777" w:rsidTr="00381BEB">
        <w:tc>
          <w:tcPr>
            <w:tcW w:w="4106" w:type="dxa"/>
          </w:tcPr>
          <w:p w14:paraId="57C62D68" w14:textId="031BA86D" w:rsidR="000C0CB8" w:rsidRDefault="000C0CB8" w:rsidP="0046127F">
            <w:r>
              <w:t xml:space="preserve">A partir </w:t>
            </w:r>
            <w:r w:rsidR="0046127F" w:rsidRPr="0046127F">
              <w:t xml:space="preserve">de novembre </w:t>
            </w:r>
            <w:r>
              <w:t xml:space="preserve">2022 puis au fil de l’eau </w:t>
            </w:r>
          </w:p>
        </w:tc>
        <w:tc>
          <w:tcPr>
            <w:tcW w:w="4956" w:type="dxa"/>
          </w:tcPr>
          <w:p w14:paraId="68C8D907" w14:textId="77777777" w:rsidR="000C0CB8" w:rsidRDefault="000C0CB8" w:rsidP="00381BEB">
            <w:r>
              <w:t xml:space="preserve">Début des évaluations SRI et itérations avec le CEREMA </w:t>
            </w:r>
          </w:p>
        </w:tc>
      </w:tr>
      <w:tr w:rsidR="000C0CB8" w14:paraId="6BF04F64" w14:textId="77777777" w:rsidTr="00381BEB">
        <w:tc>
          <w:tcPr>
            <w:tcW w:w="4106" w:type="dxa"/>
          </w:tcPr>
          <w:p w14:paraId="77750AC4" w14:textId="15AC7E68" w:rsidR="000C0CB8" w:rsidRDefault="00680498" w:rsidP="00E9021A">
            <w:r>
              <w:t xml:space="preserve">Au </w:t>
            </w:r>
            <w:r w:rsidR="00AF22BD">
              <w:t xml:space="preserve">30 </w:t>
            </w:r>
            <w:r w:rsidR="00E9021A">
              <w:t xml:space="preserve">novembre </w:t>
            </w:r>
            <w:r w:rsidR="000C0CB8">
              <w:t>2023</w:t>
            </w:r>
          </w:p>
        </w:tc>
        <w:tc>
          <w:tcPr>
            <w:tcW w:w="4956" w:type="dxa"/>
          </w:tcPr>
          <w:p w14:paraId="602AFB1C" w14:textId="77777777" w:rsidR="000C0CB8" w:rsidRDefault="000C0CB8" w:rsidP="00381BEB">
            <w:r>
              <w:t>Clôture de la première phase – retour d’expérience</w:t>
            </w:r>
          </w:p>
        </w:tc>
      </w:tr>
    </w:tbl>
    <w:p w14:paraId="7D229095" w14:textId="77777777" w:rsidR="000C0CB8" w:rsidRPr="00936E55" w:rsidRDefault="000C0CB8" w:rsidP="000C0CB8">
      <w:pPr>
        <w:jc w:val="both"/>
      </w:pPr>
    </w:p>
    <w:p w14:paraId="22B99BE3" w14:textId="77777777" w:rsidR="000C0CB8" w:rsidRPr="00E7299A" w:rsidRDefault="000C0CB8" w:rsidP="000C0CB8">
      <w:pPr>
        <w:jc w:val="both"/>
      </w:pPr>
    </w:p>
    <w:p w14:paraId="3B76DEE8" w14:textId="77777777" w:rsidR="00E7299A" w:rsidRDefault="00E7299A" w:rsidP="00E7299A">
      <w:pPr>
        <w:pStyle w:val="Titre1"/>
      </w:pPr>
      <w:r>
        <w:t>MODALITES DE CANDIDATURE</w:t>
      </w:r>
    </w:p>
    <w:p w14:paraId="5A524A7D" w14:textId="77777777" w:rsidR="00507D26" w:rsidRPr="00507D26" w:rsidRDefault="00507D26" w:rsidP="00507D26"/>
    <w:p w14:paraId="22007FF1" w14:textId="77777777" w:rsidR="00E7299A" w:rsidRDefault="000B7E28" w:rsidP="005D5A7C">
      <w:pPr>
        <w:pStyle w:val="Sous-titre"/>
      </w:pPr>
      <w:r>
        <w:t>Acceptation</w:t>
      </w:r>
      <w:r w:rsidR="00FA469C">
        <w:t xml:space="preserve"> </w:t>
      </w:r>
    </w:p>
    <w:p w14:paraId="3C6E16E0" w14:textId="4A03C5B8" w:rsidR="00AA51F3" w:rsidRDefault="005D5A7C" w:rsidP="005D5A7C">
      <w:pPr>
        <w:jc w:val="both"/>
      </w:pPr>
      <w:r w:rsidRPr="0014358D">
        <w:rPr>
          <w:b/>
        </w:rPr>
        <w:t xml:space="preserve">Le ministère s’engage à </w:t>
      </w:r>
      <w:r w:rsidR="003B4B69">
        <w:rPr>
          <w:b/>
        </w:rPr>
        <w:t>informer les</w:t>
      </w:r>
      <w:r w:rsidR="00C34FC0" w:rsidRPr="0014358D">
        <w:rPr>
          <w:b/>
        </w:rPr>
        <w:t xml:space="preserve"> professionnel</w:t>
      </w:r>
      <w:r w:rsidRPr="0014358D">
        <w:rPr>
          <w:b/>
        </w:rPr>
        <w:t xml:space="preserve">s </w:t>
      </w:r>
      <w:r w:rsidR="003B4B69">
        <w:rPr>
          <w:b/>
        </w:rPr>
        <w:t xml:space="preserve">de </w:t>
      </w:r>
      <w:r w:rsidR="00C34FC0" w:rsidRPr="0014358D">
        <w:rPr>
          <w:b/>
        </w:rPr>
        <w:t>la suite donnée à leur candidature</w:t>
      </w:r>
      <w:r w:rsidR="00C34FC0">
        <w:t xml:space="preserve">. </w:t>
      </w:r>
    </w:p>
    <w:p w14:paraId="10E46972" w14:textId="25774FF9" w:rsidR="005D5A7C" w:rsidRDefault="00AA51F3" w:rsidP="005D5A7C">
      <w:pPr>
        <w:jc w:val="both"/>
      </w:pPr>
      <w:r>
        <w:t xml:space="preserve">La sélection sera effectuée </w:t>
      </w:r>
      <w:r w:rsidR="00801478">
        <w:t>par</w:t>
      </w:r>
      <w:r>
        <w:t xml:space="preserve"> le ministère du logement et le CEREMA</w:t>
      </w:r>
      <w:r w:rsidR="004057AE">
        <w:t xml:space="preserve"> afin de constituer </w:t>
      </w:r>
      <w:r w:rsidR="00491F4E">
        <w:t xml:space="preserve">autant que possible </w:t>
      </w:r>
      <w:r w:rsidR="004057AE">
        <w:t>un panel représentatif de bâtiment</w:t>
      </w:r>
      <w:r w:rsidR="00491F4E">
        <w:t>s</w:t>
      </w:r>
      <w:r w:rsidR="004057AE">
        <w:t xml:space="preserve"> et de professionnel</w:t>
      </w:r>
      <w:r w:rsidR="00491F4E">
        <w:t>s</w:t>
      </w:r>
      <w:r w:rsidR="00801478">
        <w:t>.</w:t>
      </w:r>
      <w:r>
        <w:t xml:space="preserve"> </w:t>
      </w:r>
      <w:r w:rsidR="00801478">
        <w:t>I</w:t>
      </w:r>
      <w:r w:rsidR="0014358D">
        <w:t>l est possible que</w:t>
      </w:r>
      <w:r w:rsidR="005D5A7C">
        <w:t xml:space="preserve"> </w:t>
      </w:r>
      <w:r w:rsidR="00C34FC0">
        <w:t xml:space="preserve">le ministère </w:t>
      </w:r>
      <w:r w:rsidR="00C34FC0" w:rsidRPr="005703D8">
        <w:t>ne</w:t>
      </w:r>
      <w:r w:rsidR="005D5A7C" w:rsidRPr="005703D8">
        <w:t xml:space="preserve"> p</w:t>
      </w:r>
      <w:r w:rsidR="0014358D" w:rsidRPr="005703D8">
        <w:t>uisse</w:t>
      </w:r>
      <w:r w:rsidR="005D5A7C" w:rsidRPr="005703D8">
        <w:t xml:space="preserve"> </w:t>
      </w:r>
      <w:r w:rsidR="00C34FC0" w:rsidRPr="005703D8">
        <w:t>donner</w:t>
      </w:r>
      <w:r w:rsidR="005D5A7C" w:rsidRPr="005703D8">
        <w:t xml:space="preserve"> </w:t>
      </w:r>
      <w:r w:rsidR="00491F4E">
        <w:t xml:space="preserve">de </w:t>
      </w:r>
      <w:r w:rsidR="005D5A7C" w:rsidRPr="005703D8">
        <w:t>suite</w:t>
      </w:r>
      <w:r w:rsidR="00C34FC0" w:rsidRPr="005703D8">
        <w:t xml:space="preserve"> </w:t>
      </w:r>
      <w:r w:rsidR="00491F4E">
        <w:t xml:space="preserve">favorable </w:t>
      </w:r>
      <w:r w:rsidR="00C34FC0" w:rsidRPr="005703D8">
        <w:t>à une candidature dans le cadre de ce projet</w:t>
      </w:r>
      <w:r w:rsidR="005D5A7C" w:rsidRPr="005703D8">
        <w:t xml:space="preserve">, </w:t>
      </w:r>
      <w:r w:rsidR="00491F4E">
        <w:t>notamment</w:t>
      </w:r>
      <w:r w:rsidR="00491F4E" w:rsidRPr="005703D8">
        <w:t xml:space="preserve"> </w:t>
      </w:r>
      <w:r w:rsidR="00747813" w:rsidRPr="005703D8">
        <w:t>dans le cas où</w:t>
      </w:r>
      <w:r w:rsidR="005D5A7C" w:rsidRPr="005703D8">
        <w:t xml:space="preserve"> le nombre de professionnels </w:t>
      </w:r>
      <w:r w:rsidR="00747813" w:rsidRPr="005703D8">
        <w:t>serait</w:t>
      </w:r>
      <w:r w:rsidR="005D5A7C" w:rsidRPr="005703D8">
        <w:t xml:space="preserve"> supérieur à celui envisagé</w:t>
      </w:r>
      <w:r w:rsidR="00C34FC0" w:rsidRPr="005703D8">
        <w:t xml:space="preserve"> ou</w:t>
      </w:r>
      <w:r w:rsidR="005D5A7C" w:rsidRPr="005703D8">
        <w:t xml:space="preserve"> si le profil du professionnel ne correspond</w:t>
      </w:r>
      <w:r w:rsidR="00747813" w:rsidRPr="005703D8">
        <w:t>ait</w:t>
      </w:r>
      <w:r w:rsidR="005D5A7C" w:rsidRPr="005703D8">
        <w:t xml:space="preserve"> pas</w:t>
      </w:r>
      <w:r w:rsidR="005D5A7C">
        <w:t xml:space="preserve"> à celui recherché</w:t>
      </w:r>
      <w:r w:rsidR="00C34FC0">
        <w:t>.</w:t>
      </w:r>
    </w:p>
    <w:p w14:paraId="579E58E5" w14:textId="7F313595" w:rsidR="00801478" w:rsidRDefault="00801478" w:rsidP="005D5A7C">
      <w:pPr>
        <w:jc w:val="both"/>
      </w:pPr>
      <w:r w:rsidRPr="00A70E25">
        <w:t>Le candidat retenu pourra effectuer la formation</w:t>
      </w:r>
      <w:r w:rsidRPr="00326A23">
        <w:t xml:space="preserve"> et répondre au questionnaire de connaissance</w:t>
      </w:r>
      <w:r w:rsidR="00326A23" w:rsidRPr="00326A23">
        <w:t>s</w:t>
      </w:r>
      <w:r w:rsidRPr="00326A23">
        <w:t xml:space="preserve">, qui lui donnera un accès à l’outils d’évaluation </w:t>
      </w:r>
      <w:r w:rsidRPr="00D75D57">
        <w:rPr>
          <w:i/>
        </w:rPr>
        <w:t>SRI</w:t>
      </w:r>
      <w:r w:rsidRPr="00326A23">
        <w:t>.</w:t>
      </w:r>
    </w:p>
    <w:p w14:paraId="5DF33617" w14:textId="566F0684" w:rsidR="00EF20AD" w:rsidRDefault="00EF20AD" w:rsidP="005D5A7C">
      <w:pPr>
        <w:jc w:val="both"/>
      </w:pPr>
    </w:p>
    <w:p w14:paraId="7C59E0F3" w14:textId="40B2C51C" w:rsidR="00EF20AD" w:rsidRDefault="001937A7" w:rsidP="00EF20AD">
      <w:pPr>
        <w:pStyle w:val="Sous-titre"/>
      </w:pPr>
      <w:r>
        <w:t>Prise en charge de l’évaluation</w:t>
      </w:r>
    </w:p>
    <w:p w14:paraId="6DD5600B" w14:textId="33DE2C0A" w:rsidR="001937A7" w:rsidRPr="001937A7" w:rsidRDefault="001937A7" w:rsidP="00936E55">
      <w:pPr>
        <w:jc w:val="both"/>
      </w:pPr>
      <w:r w:rsidRPr="001937A7">
        <w:t>La participation à</w:t>
      </w:r>
      <w:r w:rsidRPr="001937A7">
        <w:rPr>
          <w:b/>
        </w:rPr>
        <w:t xml:space="preserve"> l’expérimentation est une démarche volontaire </w:t>
      </w:r>
      <w:r w:rsidRPr="001937A7">
        <w:t xml:space="preserve">qui a pour objectif d’appréhender la méthode de calcul de l’indicateur </w:t>
      </w:r>
      <w:r w:rsidRPr="00D75D57">
        <w:rPr>
          <w:i/>
        </w:rPr>
        <w:t>SRI</w:t>
      </w:r>
      <w:r w:rsidRPr="001937A7">
        <w:t>.</w:t>
      </w:r>
    </w:p>
    <w:p w14:paraId="5C7C0612" w14:textId="753CE53C" w:rsidR="00EF20AD" w:rsidRPr="00EF20AD" w:rsidRDefault="00EF20AD" w:rsidP="00936E55">
      <w:pPr>
        <w:jc w:val="both"/>
      </w:pPr>
      <w:r w:rsidRPr="001937A7">
        <w:t xml:space="preserve">Les </w:t>
      </w:r>
      <w:r w:rsidRPr="001937A7">
        <w:rPr>
          <w:b/>
        </w:rPr>
        <w:t>conditions dans lesquelles le</w:t>
      </w:r>
      <w:r w:rsidRPr="00936E55">
        <w:rPr>
          <w:b/>
        </w:rPr>
        <w:t xml:space="preserve"> professionnel </w:t>
      </w:r>
      <w:r w:rsidR="001937A7">
        <w:rPr>
          <w:b/>
        </w:rPr>
        <w:t xml:space="preserve">évaluateur </w:t>
      </w:r>
      <w:r w:rsidRPr="00936E55">
        <w:rPr>
          <w:b/>
        </w:rPr>
        <w:t xml:space="preserve">effectuera </w:t>
      </w:r>
      <w:r w:rsidRPr="00936E55">
        <w:t>l’évaluation</w:t>
      </w:r>
      <w:r w:rsidRPr="00936E55">
        <w:rPr>
          <w:b/>
        </w:rPr>
        <w:t xml:space="preserve"> </w:t>
      </w:r>
      <w:r w:rsidRPr="00D75D57">
        <w:rPr>
          <w:b/>
          <w:i/>
        </w:rPr>
        <w:t>SRI</w:t>
      </w:r>
      <w:r w:rsidRPr="00936E55">
        <w:rPr>
          <w:b/>
        </w:rPr>
        <w:t xml:space="preserve"> </w:t>
      </w:r>
      <w:r w:rsidRPr="00936E55">
        <w:t>d’un bâtiment</w:t>
      </w:r>
      <w:r w:rsidRPr="00936E55">
        <w:rPr>
          <w:b/>
        </w:rPr>
        <w:t xml:space="preserve"> relève </w:t>
      </w:r>
      <w:r w:rsidR="00491F4E">
        <w:rPr>
          <w:b/>
        </w:rPr>
        <w:t xml:space="preserve">le cas échéant </w:t>
      </w:r>
      <w:r w:rsidRPr="00936E55">
        <w:rPr>
          <w:b/>
        </w:rPr>
        <w:t xml:space="preserve">des clauses contractuelles </w:t>
      </w:r>
      <w:r w:rsidR="005B0026" w:rsidRPr="00936E55">
        <w:rPr>
          <w:b/>
        </w:rPr>
        <w:t xml:space="preserve">qui </w:t>
      </w:r>
      <w:r w:rsidR="00936E55">
        <w:rPr>
          <w:b/>
        </w:rPr>
        <w:t>pour</w:t>
      </w:r>
      <w:r w:rsidR="005B0026" w:rsidRPr="00936E55">
        <w:rPr>
          <w:b/>
        </w:rPr>
        <w:t xml:space="preserve">ront </w:t>
      </w:r>
      <w:r w:rsidR="00936E55">
        <w:rPr>
          <w:b/>
        </w:rPr>
        <w:t>être</w:t>
      </w:r>
      <w:r w:rsidR="005B0026" w:rsidRPr="00936E55">
        <w:rPr>
          <w:b/>
        </w:rPr>
        <w:t xml:space="preserve"> convenues avec le propriétaire ou le gérant du bâtiment</w:t>
      </w:r>
      <w:r w:rsidR="005B0026">
        <w:t>. Ni le ministère du logement, ni le CER</w:t>
      </w:r>
      <w:r w:rsidR="00CF1991">
        <w:t xml:space="preserve">EMA n’ont vocation à indemniser, ni à </w:t>
      </w:r>
      <w:r w:rsidR="005B0026">
        <w:t xml:space="preserve">rémunérer l’une des parties. </w:t>
      </w:r>
    </w:p>
    <w:p w14:paraId="029C5688" w14:textId="77777777" w:rsidR="00936E55" w:rsidRPr="005D5A7C" w:rsidRDefault="00936E55" w:rsidP="005D5A7C">
      <w:pPr>
        <w:jc w:val="both"/>
      </w:pPr>
    </w:p>
    <w:p w14:paraId="1B9200C1" w14:textId="77777777" w:rsidR="003E4529" w:rsidRDefault="00222C8A" w:rsidP="00C34FC0">
      <w:pPr>
        <w:pStyle w:val="Sous-titre"/>
      </w:pPr>
      <w:r>
        <w:t>Transparence</w:t>
      </w:r>
    </w:p>
    <w:p w14:paraId="6D512BC7" w14:textId="0FCD80DC" w:rsidR="00936E55" w:rsidRDefault="0042252E" w:rsidP="001937A7">
      <w:pPr>
        <w:jc w:val="both"/>
      </w:pPr>
      <w:r>
        <w:t>L</w:t>
      </w:r>
      <w:r w:rsidR="001937A7">
        <w:t>a liste</w:t>
      </w:r>
      <w:r>
        <w:t xml:space="preserve"> des </w:t>
      </w:r>
      <w:r w:rsidRPr="00507D26">
        <w:rPr>
          <w:b/>
        </w:rPr>
        <w:t xml:space="preserve">professionnels </w:t>
      </w:r>
      <w:r w:rsidR="00801478">
        <w:t>sélectionnés</w:t>
      </w:r>
      <w:r w:rsidR="001937A7">
        <w:t xml:space="preserve"> et</w:t>
      </w:r>
      <w:r w:rsidR="001937A7" w:rsidRPr="00507D26">
        <w:rPr>
          <w:b/>
        </w:rPr>
        <w:t xml:space="preserve"> </w:t>
      </w:r>
      <w:r w:rsidRPr="00507D26">
        <w:rPr>
          <w:b/>
        </w:rPr>
        <w:t>participant</w:t>
      </w:r>
      <w:r w:rsidR="001937A7">
        <w:rPr>
          <w:b/>
        </w:rPr>
        <w:t>s</w:t>
      </w:r>
      <w:r w:rsidRPr="00507D26">
        <w:rPr>
          <w:b/>
        </w:rPr>
        <w:t xml:space="preserve"> à l’expérimentation</w:t>
      </w:r>
      <w:r w:rsidR="001937A7">
        <w:rPr>
          <w:b/>
        </w:rPr>
        <w:t>,</w:t>
      </w:r>
      <w:r w:rsidRPr="00507D26">
        <w:rPr>
          <w:b/>
        </w:rPr>
        <w:t xml:space="preserve"> </w:t>
      </w:r>
      <w:r w:rsidR="001937A7">
        <w:rPr>
          <w:b/>
        </w:rPr>
        <w:t>sera</w:t>
      </w:r>
      <w:r>
        <w:t xml:space="preserve"> </w:t>
      </w:r>
      <w:r w:rsidR="001937A7" w:rsidRPr="001937A7">
        <w:rPr>
          <w:b/>
        </w:rPr>
        <w:t>publi</w:t>
      </w:r>
      <w:r w:rsidR="00801478">
        <w:rPr>
          <w:b/>
        </w:rPr>
        <w:t>ée</w:t>
      </w:r>
      <w:r w:rsidR="005B0026">
        <w:t xml:space="preserve"> et </w:t>
      </w:r>
      <w:r>
        <w:t xml:space="preserve">consultable sur le site </w:t>
      </w:r>
      <w:r w:rsidR="00E9021A">
        <w:t>[</w:t>
      </w:r>
      <w:r w:rsidR="001937A7" w:rsidRPr="001937A7">
        <w:rPr>
          <w:b/>
        </w:rPr>
        <w:t>rt</w:t>
      </w:r>
      <w:r w:rsidRPr="001937A7">
        <w:rPr>
          <w:b/>
        </w:rPr>
        <w:t>-</w:t>
      </w:r>
      <w:r w:rsidR="001937A7" w:rsidRPr="001937A7">
        <w:rPr>
          <w:b/>
        </w:rPr>
        <w:t>re</w:t>
      </w:r>
      <w:r w:rsidRPr="001937A7">
        <w:rPr>
          <w:b/>
        </w:rPr>
        <w:t>-bâtiment</w:t>
      </w:r>
      <w:r>
        <w:t xml:space="preserve">, à l’onglet </w:t>
      </w:r>
      <w:r w:rsidRPr="000C0CB8">
        <w:rPr>
          <w:b/>
          <w:i/>
        </w:rPr>
        <w:t>SRI</w:t>
      </w:r>
      <w:r w:rsidR="00E9021A">
        <w:rPr>
          <w:b/>
          <w:i/>
        </w:rPr>
        <w:t xml:space="preserve">] </w:t>
      </w:r>
      <w:r w:rsidR="00E9021A" w:rsidRPr="00E9021A">
        <w:rPr>
          <w:b/>
          <w:i/>
        </w:rPr>
        <w:t>https://www.ecologie.gouv.fr/smart-readiness-indicator-sri-lindicateur-potentiel-dintelligence-des-batiments</w:t>
      </w:r>
      <w:r>
        <w:rPr>
          <w:i/>
        </w:rPr>
        <w:t>.</w:t>
      </w:r>
      <w:r w:rsidR="001937A7">
        <w:rPr>
          <w:i/>
        </w:rPr>
        <w:t xml:space="preserve"> </w:t>
      </w:r>
      <w:r w:rsidR="005703D8" w:rsidRPr="005703D8">
        <w:t xml:space="preserve">Seuls ces professionnels seront en mesure de délivrer un certificat </w:t>
      </w:r>
      <w:r w:rsidR="005703D8" w:rsidRPr="00D75D57">
        <w:rPr>
          <w:i/>
        </w:rPr>
        <w:t>SRI</w:t>
      </w:r>
      <w:r w:rsidR="005703D8">
        <w:t xml:space="preserve"> </w:t>
      </w:r>
      <w:r w:rsidR="005703D8" w:rsidRPr="005703D8">
        <w:t>(établi par le CEREMA)</w:t>
      </w:r>
      <w:r w:rsidR="005703D8">
        <w:t xml:space="preserve"> à la suite de leur évalua</w:t>
      </w:r>
      <w:r w:rsidR="001026CE">
        <w:t>tion et de la validation de</w:t>
      </w:r>
      <w:r w:rsidR="005703D8">
        <w:t>s résultats par le CEREMA.</w:t>
      </w:r>
    </w:p>
    <w:p w14:paraId="320DD509" w14:textId="77777777" w:rsidR="005703D8" w:rsidRDefault="005703D8" w:rsidP="001937A7">
      <w:pPr>
        <w:jc w:val="both"/>
      </w:pPr>
    </w:p>
    <w:p w14:paraId="676BA97A" w14:textId="76D60EAD" w:rsidR="00936E55" w:rsidRDefault="00936E55" w:rsidP="001937A7">
      <w:pPr>
        <w:jc w:val="both"/>
      </w:pPr>
      <w:r>
        <w:t>Liste de</w:t>
      </w:r>
      <w:r w:rsidR="00BA3FD6">
        <w:t>s documents</w:t>
      </w:r>
      <w:r>
        <w:t xml:space="preserve"> publiés sur le site :</w:t>
      </w:r>
    </w:p>
    <w:p w14:paraId="13B71F93" w14:textId="15FE8264" w:rsidR="00DC73F7" w:rsidRDefault="00DC73F7" w:rsidP="001937A7">
      <w:pPr>
        <w:jc w:val="both"/>
      </w:pPr>
      <w:r w:rsidRPr="00DC73F7">
        <w:t>Directive (UE) 2018/844 du Parlement européen et du Conseil du 30 mai 2018 modifiant la directive 2010/31/UE sur la performance énergétique des bâtiments et la directive 2012/27/UE relative à l’efficacité énergétique (Texte présentant de l'intérêt pour l'EEE</w:t>
      </w:r>
      <w:r>
        <w:t>)</w:t>
      </w:r>
    </w:p>
    <w:p w14:paraId="5C122359" w14:textId="4C0524F9" w:rsidR="00801478" w:rsidRDefault="00CF1991" w:rsidP="001937A7">
      <w:pPr>
        <w:jc w:val="both"/>
      </w:pPr>
      <w:r>
        <w:t>R</w:t>
      </w:r>
      <w:r w:rsidR="00A8343C">
        <w:t xml:space="preserve">èglement </w:t>
      </w:r>
      <w:r w:rsidR="00801478">
        <w:t xml:space="preserve">délégué </w:t>
      </w:r>
      <w:r w:rsidR="00A8343C">
        <w:t xml:space="preserve">(UE) </w:t>
      </w:r>
      <w:r w:rsidR="00801478">
        <w:t xml:space="preserve">2020/2155 et </w:t>
      </w:r>
      <w:r w:rsidR="00A8343C">
        <w:t xml:space="preserve">règlement </w:t>
      </w:r>
      <w:r w:rsidR="00801478">
        <w:t xml:space="preserve">d’exécution </w:t>
      </w:r>
      <w:r w:rsidR="00A8343C">
        <w:t xml:space="preserve">(UE) </w:t>
      </w:r>
      <w:r>
        <w:t>2020/2156 et annexes</w:t>
      </w:r>
    </w:p>
    <w:p w14:paraId="63A0E827" w14:textId="6C5B9476" w:rsidR="006B7B8C" w:rsidRDefault="006B7B8C" w:rsidP="001937A7">
      <w:pPr>
        <w:jc w:val="both"/>
      </w:pPr>
      <w:r>
        <w:t>Qu’est-ce que le SRI ?</w:t>
      </w:r>
      <w:r w:rsidR="00CF1991">
        <w:t xml:space="preserve"> [</w:t>
      </w:r>
      <w:r w:rsidR="00E9021A">
        <w:t>Présentation</w:t>
      </w:r>
      <w:r w:rsidR="00CF1991">
        <w:t xml:space="preserve"> tout public]</w:t>
      </w:r>
    </w:p>
    <w:p w14:paraId="1B2594B9" w14:textId="744D5631" w:rsidR="006B7B8C" w:rsidRDefault="006B7B8C" w:rsidP="001937A7">
      <w:pPr>
        <w:jc w:val="both"/>
      </w:pPr>
      <w:r>
        <w:t>Plaquette de présentation de la Commission européenne</w:t>
      </w:r>
      <w:r w:rsidR="00CF1991">
        <w:t xml:space="preserve"> [téléchargeable]</w:t>
      </w:r>
      <w:r w:rsidR="00842950">
        <w:t xml:space="preserve"> A VENIR</w:t>
      </w:r>
    </w:p>
    <w:p w14:paraId="0035B168" w14:textId="3E04A3EC" w:rsidR="006B7B8C" w:rsidRDefault="006B7B8C" w:rsidP="001937A7">
      <w:pPr>
        <w:jc w:val="both"/>
      </w:pPr>
      <w:r>
        <w:t>Le recrutement des professionnels</w:t>
      </w:r>
      <w:r w:rsidR="00CF1991">
        <w:t xml:space="preserve"> [</w:t>
      </w:r>
      <w:r w:rsidR="00C83F26">
        <w:t xml:space="preserve">information </w:t>
      </w:r>
      <w:r w:rsidR="00CF1991">
        <w:t>pour les professionnels intéressés]</w:t>
      </w:r>
    </w:p>
    <w:p w14:paraId="18656634" w14:textId="2BC442FA" w:rsidR="006B7B8C" w:rsidRDefault="006B7B8C" w:rsidP="001937A7">
      <w:pPr>
        <w:jc w:val="both"/>
      </w:pPr>
      <w:r>
        <w:t>Les qualifications requises</w:t>
      </w:r>
      <w:r w:rsidR="00CF1991">
        <w:t xml:space="preserve"> [</w:t>
      </w:r>
      <w:r w:rsidR="00C83F26">
        <w:t xml:space="preserve">déterminant les justificatifs à produire </w:t>
      </w:r>
      <w:r w:rsidR="00CF1991">
        <w:t>lors de la candidature]</w:t>
      </w:r>
    </w:p>
    <w:p w14:paraId="7CBB798D" w14:textId="77777777" w:rsidR="00772F47" w:rsidRDefault="006B7B8C" w:rsidP="00772F47">
      <w:pPr>
        <w:jc w:val="both"/>
      </w:pPr>
      <w:r>
        <w:t>La procédure de validation d’une candidature</w:t>
      </w:r>
      <w:r w:rsidR="00CF1991">
        <w:t xml:space="preserve"> [déroulé de la procédure]</w:t>
      </w:r>
      <w:r w:rsidR="00772F47" w:rsidRPr="00772F47">
        <w:t xml:space="preserve"> </w:t>
      </w:r>
    </w:p>
    <w:p w14:paraId="7341EB7A" w14:textId="16B6C54B" w:rsidR="00772F47" w:rsidRDefault="00772F47" w:rsidP="00772F47">
      <w:pPr>
        <w:jc w:val="both"/>
      </w:pPr>
      <w:r>
        <w:t>Le formulaire de candidature pour la phase de test, comprenant le lien vers le questionnaire de connaissances faisant suite à la formation</w:t>
      </w:r>
    </w:p>
    <w:p w14:paraId="599DA73C" w14:textId="6DE9A00F" w:rsidR="00BC19E5" w:rsidRDefault="00BC19E5">
      <w:pPr>
        <w:jc w:val="both"/>
      </w:pPr>
      <w:r>
        <w:t>Le tutoriel en video / format mp4</w:t>
      </w:r>
    </w:p>
    <w:p w14:paraId="705F8687" w14:textId="77777777" w:rsidR="00BC19E5" w:rsidRDefault="00BC19E5" w:rsidP="00BC19E5">
      <w:pPr>
        <w:jc w:val="both"/>
      </w:pPr>
      <w:r>
        <w:t>Le diaporama de formation</w:t>
      </w:r>
    </w:p>
    <w:p w14:paraId="6DC6355A" w14:textId="5E83B67D" w:rsidR="00BC19E5" w:rsidRDefault="00BC19E5">
      <w:pPr>
        <w:jc w:val="both"/>
      </w:pPr>
      <w:r>
        <w:t>L’outil de calcul SRI et la charte d’utilisation</w:t>
      </w:r>
    </w:p>
    <w:p w14:paraId="7DFCD3D7" w14:textId="242A644F" w:rsidR="00BC19E5" w:rsidRPr="00936E55" w:rsidRDefault="00BC19E5">
      <w:pPr>
        <w:jc w:val="both"/>
      </w:pPr>
      <w:r>
        <w:t>Le guide pratique d’utilisation de l’outil</w:t>
      </w:r>
    </w:p>
    <w:sectPr w:rsidR="00BC19E5" w:rsidRPr="00936E55">
      <w:head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B1B7" w16cex:dateUtc="2022-03-22T1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8178C3" w16cid:durableId="25E4B074"/>
  <w16cid:commentId w16cid:paraId="31E8E81E" w16cid:durableId="25E4B1B7"/>
  <w16cid:commentId w16cid:paraId="75B73D61" w16cid:durableId="25E4B0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BF588" w14:textId="77777777" w:rsidR="00EB4D51" w:rsidRDefault="00EB4D51" w:rsidP="002A1D03">
      <w:pPr>
        <w:spacing w:after="0" w:line="240" w:lineRule="auto"/>
      </w:pPr>
      <w:r>
        <w:separator/>
      </w:r>
    </w:p>
  </w:endnote>
  <w:endnote w:type="continuationSeparator" w:id="0">
    <w:p w14:paraId="7D0E2A9A" w14:textId="77777777" w:rsidR="00EB4D51" w:rsidRDefault="00EB4D51" w:rsidP="002A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9D3B0" w14:textId="77777777" w:rsidR="00EB4D51" w:rsidRDefault="00EB4D51" w:rsidP="002A1D03">
      <w:pPr>
        <w:spacing w:after="0" w:line="240" w:lineRule="auto"/>
      </w:pPr>
      <w:r>
        <w:separator/>
      </w:r>
    </w:p>
  </w:footnote>
  <w:footnote w:type="continuationSeparator" w:id="0">
    <w:p w14:paraId="12DD9C65" w14:textId="77777777" w:rsidR="00EB4D51" w:rsidRDefault="00EB4D51" w:rsidP="002A1D03">
      <w:pPr>
        <w:spacing w:after="0" w:line="240" w:lineRule="auto"/>
      </w:pPr>
      <w:r>
        <w:continuationSeparator/>
      </w:r>
    </w:p>
  </w:footnote>
  <w:footnote w:id="1">
    <w:p w14:paraId="5D134BCD" w14:textId="77777777" w:rsidR="00473A4A" w:rsidRDefault="00473A4A" w:rsidP="00473A4A">
      <w:pPr>
        <w:pStyle w:val="Notedebasdepage"/>
      </w:pPr>
      <w:r>
        <w:rPr>
          <w:rStyle w:val="Appelnotedebasdep"/>
        </w:rPr>
        <w:footnoteRef/>
      </w:r>
      <w:r>
        <w:t xml:space="preserve"> R</w:t>
      </w:r>
      <w:r w:rsidRPr="002A1D03">
        <w:t>elève de la relation contractuelle entre le propriétaire et le professionnel.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31DCA" w14:textId="157A2969" w:rsidR="00564746" w:rsidRDefault="00564746" w:rsidP="00564746">
    <w:pPr>
      <w:pStyle w:val="En-tte"/>
      <w:tabs>
        <w:tab w:val="left" w:pos="7230"/>
      </w:tabs>
    </w:pPr>
    <w:r>
      <w:tab/>
    </w:r>
    <w:r>
      <w:tab/>
    </w:r>
    <w:r w:rsidR="00E9021A">
      <w:t xml:space="preserve">12 septembre </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05B6F"/>
    <w:multiLevelType w:val="hybridMultilevel"/>
    <w:tmpl w:val="A8FA0DE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2440990"/>
    <w:multiLevelType w:val="hybridMultilevel"/>
    <w:tmpl w:val="F73075B6"/>
    <w:lvl w:ilvl="0" w:tplc="BE986B0A">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DBE469A"/>
    <w:multiLevelType w:val="hybridMultilevel"/>
    <w:tmpl w:val="8C122320"/>
    <w:lvl w:ilvl="0" w:tplc="DF2AC9D2">
      <w:start w:val="1"/>
      <w:numFmt w:val="upperLetter"/>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43"/>
    <w:rsid w:val="00040F52"/>
    <w:rsid w:val="00051A76"/>
    <w:rsid w:val="00071A7A"/>
    <w:rsid w:val="000B4B98"/>
    <w:rsid w:val="000B7E28"/>
    <w:rsid w:val="000C0CB8"/>
    <w:rsid w:val="000D3AAC"/>
    <w:rsid w:val="001026CE"/>
    <w:rsid w:val="00115147"/>
    <w:rsid w:val="00120083"/>
    <w:rsid w:val="001225F5"/>
    <w:rsid w:val="0014358D"/>
    <w:rsid w:val="001545B2"/>
    <w:rsid w:val="001628FF"/>
    <w:rsid w:val="0017596B"/>
    <w:rsid w:val="00181A5F"/>
    <w:rsid w:val="001937A7"/>
    <w:rsid w:val="001B29B9"/>
    <w:rsid w:val="001D592E"/>
    <w:rsid w:val="001D613E"/>
    <w:rsid w:val="00222C8A"/>
    <w:rsid w:val="00230022"/>
    <w:rsid w:val="00244F25"/>
    <w:rsid w:val="002510DD"/>
    <w:rsid w:val="002832EA"/>
    <w:rsid w:val="002A1D03"/>
    <w:rsid w:val="002A254F"/>
    <w:rsid w:val="002A7C92"/>
    <w:rsid w:val="00326A23"/>
    <w:rsid w:val="00342DC2"/>
    <w:rsid w:val="00345022"/>
    <w:rsid w:val="00350A05"/>
    <w:rsid w:val="003B4B69"/>
    <w:rsid w:val="003E4529"/>
    <w:rsid w:val="00401C97"/>
    <w:rsid w:val="004057AE"/>
    <w:rsid w:val="00415214"/>
    <w:rsid w:val="004172A2"/>
    <w:rsid w:val="0042252E"/>
    <w:rsid w:val="0046127F"/>
    <w:rsid w:val="00473A4A"/>
    <w:rsid w:val="00491F4E"/>
    <w:rsid w:val="004E75E1"/>
    <w:rsid w:val="00500BE8"/>
    <w:rsid w:val="00507D26"/>
    <w:rsid w:val="005237EA"/>
    <w:rsid w:val="005317D7"/>
    <w:rsid w:val="00564746"/>
    <w:rsid w:val="005703D8"/>
    <w:rsid w:val="00591F60"/>
    <w:rsid w:val="005A117B"/>
    <w:rsid w:val="005B0026"/>
    <w:rsid w:val="005B318D"/>
    <w:rsid w:val="005B5583"/>
    <w:rsid w:val="005C626C"/>
    <w:rsid w:val="005D5A7C"/>
    <w:rsid w:val="005D6783"/>
    <w:rsid w:val="005E203E"/>
    <w:rsid w:val="00602CE9"/>
    <w:rsid w:val="006137CC"/>
    <w:rsid w:val="00622DCC"/>
    <w:rsid w:val="006375BD"/>
    <w:rsid w:val="00665082"/>
    <w:rsid w:val="00680498"/>
    <w:rsid w:val="006A159E"/>
    <w:rsid w:val="006B082A"/>
    <w:rsid w:val="006B7B8C"/>
    <w:rsid w:val="006C4629"/>
    <w:rsid w:val="006D685B"/>
    <w:rsid w:val="006F467E"/>
    <w:rsid w:val="00710B5F"/>
    <w:rsid w:val="00734D11"/>
    <w:rsid w:val="00747813"/>
    <w:rsid w:val="00772F47"/>
    <w:rsid w:val="007C14C4"/>
    <w:rsid w:val="007C7C9C"/>
    <w:rsid w:val="007D1FF4"/>
    <w:rsid w:val="00801478"/>
    <w:rsid w:val="0081687E"/>
    <w:rsid w:val="00834F6F"/>
    <w:rsid w:val="00842950"/>
    <w:rsid w:val="00845658"/>
    <w:rsid w:val="00846E5F"/>
    <w:rsid w:val="00861022"/>
    <w:rsid w:val="0086282B"/>
    <w:rsid w:val="008B6D49"/>
    <w:rsid w:val="008D1C55"/>
    <w:rsid w:val="008E70FF"/>
    <w:rsid w:val="008F2275"/>
    <w:rsid w:val="00902A57"/>
    <w:rsid w:val="00936E55"/>
    <w:rsid w:val="009902FB"/>
    <w:rsid w:val="009C185D"/>
    <w:rsid w:val="00A023F5"/>
    <w:rsid w:val="00A02A78"/>
    <w:rsid w:val="00A24737"/>
    <w:rsid w:val="00A36119"/>
    <w:rsid w:val="00A438E5"/>
    <w:rsid w:val="00A553A2"/>
    <w:rsid w:val="00A60468"/>
    <w:rsid w:val="00A70E25"/>
    <w:rsid w:val="00A8343C"/>
    <w:rsid w:val="00A93EE3"/>
    <w:rsid w:val="00AA51F3"/>
    <w:rsid w:val="00AC6289"/>
    <w:rsid w:val="00AE5E31"/>
    <w:rsid w:val="00AF22BD"/>
    <w:rsid w:val="00AF4730"/>
    <w:rsid w:val="00B05232"/>
    <w:rsid w:val="00B53471"/>
    <w:rsid w:val="00B54E52"/>
    <w:rsid w:val="00B7106A"/>
    <w:rsid w:val="00BA3FD6"/>
    <w:rsid w:val="00BC19E5"/>
    <w:rsid w:val="00BD425B"/>
    <w:rsid w:val="00BD5643"/>
    <w:rsid w:val="00BF1468"/>
    <w:rsid w:val="00BF6BB4"/>
    <w:rsid w:val="00C029BA"/>
    <w:rsid w:val="00C34FC0"/>
    <w:rsid w:val="00C83F26"/>
    <w:rsid w:val="00CA1DC0"/>
    <w:rsid w:val="00CF1991"/>
    <w:rsid w:val="00CF639E"/>
    <w:rsid w:val="00D05AD4"/>
    <w:rsid w:val="00D153CA"/>
    <w:rsid w:val="00D571AE"/>
    <w:rsid w:val="00D60F99"/>
    <w:rsid w:val="00D63BD1"/>
    <w:rsid w:val="00D75D57"/>
    <w:rsid w:val="00DB5781"/>
    <w:rsid w:val="00DC18EE"/>
    <w:rsid w:val="00DC73F7"/>
    <w:rsid w:val="00DD5E20"/>
    <w:rsid w:val="00DE7369"/>
    <w:rsid w:val="00E64C29"/>
    <w:rsid w:val="00E7299A"/>
    <w:rsid w:val="00E9021A"/>
    <w:rsid w:val="00EA5E8A"/>
    <w:rsid w:val="00EB08ED"/>
    <w:rsid w:val="00EB4D51"/>
    <w:rsid w:val="00ED0EC1"/>
    <w:rsid w:val="00ED11A0"/>
    <w:rsid w:val="00ED300C"/>
    <w:rsid w:val="00ED536D"/>
    <w:rsid w:val="00EE3BE8"/>
    <w:rsid w:val="00EF20AD"/>
    <w:rsid w:val="00EF736C"/>
    <w:rsid w:val="00F26DFF"/>
    <w:rsid w:val="00F64BEF"/>
    <w:rsid w:val="00F66C35"/>
    <w:rsid w:val="00F9548C"/>
    <w:rsid w:val="00F95CB3"/>
    <w:rsid w:val="00FA469C"/>
    <w:rsid w:val="00FB44C6"/>
    <w:rsid w:val="00FF0F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8003"/>
  <w15:chartTrackingRefBased/>
  <w15:docId w15:val="{19130064-857B-4ACD-9897-F4C31357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B5781"/>
    <w:pPr>
      <w:keepNext/>
      <w:keepLines/>
      <w:numPr>
        <w:numId w:val="2"/>
      </w:numPr>
      <w:spacing w:before="240" w:after="0"/>
      <w:ind w:left="360"/>
      <w:outlineLvl w:val="0"/>
    </w:pPr>
    <w:rPr>
      <w:rFonts w:asciiTheme="majorHAnsi" w:eastAsiaTheme="majorEastAsia" w:hAnsiTheme="majorHAnsi" w:cstheme="majorBidi"/>
      <w:color w:val="538135" w:themeColor="accent6"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45B2"/>
    <w:pPr>
      <w:ind w:left="720"/>
      <w:contextualSpacing/>
    </w:pPr>
  </w:style>
  <w:style w:type="character" w:customStyle="1" w:styleId="Titre1Car">
    <w:name w:val="Titre 1 Car"/>
    <w:basedOn w:val="Policepardfaut"/>
    <w:link w:val="Titre1"/>
    <w:uiPriority w:val="9"/>
    <w:rsid w:val="00DB5781"/>
    <w:rPr>
      <w:rFonts w:asciiTheme="majorHAnsi" w:eastAsiaTheme="majorEastAsia" w:hAnsiTheme="majorHAnsi" w:cstheme="majorBidi"/>
      <w:color w:val="538135" w:themeColor="accent6" w:themeShade="BF"/>
      <w:sz w:val="32"/>
      <w:szCs w:val="32"/>
    </w:rPr>
  </w:style>
  <w:style w:type="paragraph" w:styleId="Sansinterligne">
    <w:name w:val="No Spacing"/>
    <w:uiPriority w:val="1"/>
    <w:qFormat/>
    <w:rsid w:val="001545B2"/>
    <w:pPr>
      <w:spacing w:after="0" w:line="240" w:lineRule="auto"/>
    </w:pPr>
  </w:style>
  <w:style w:type="paragraph" w:styleId="Sous-titre">
    <w:name w:val="Subtitle"/>
    <w:basedOn w:val="Normal"/>
    <w:next w:val="Normal"/>
    <w:link w:val="Sous-titreCar"/>
    <w:uiPriority w:val="11"/>
    <w:qFormat/>
    <w:rsid w:val="00DB5781"/>
    <w:pPr>
      <w:numPr>
        <w:ilvl w:val="1"/>
      </w:numPr>
    </w:pPr>
    <w:rPr>
      <w:rFonts w:eastAsiaTheme="minorEastAsia"/>
      <w:color w:val="385623" w:themeColor="accent6" w:themeShade="80"/>
      <w:spacing w:val="15"/>
    </w:rPr>
  </w:style>
  <w:style w:type="character" w:customStyle="1" w:styleId="Sous-titreCar">
    <w:name w:val="Sous-titre Car"/>
    <w:basedOn w:val="Policepardfaut"/>
    <w:link w:val="Sous-titre"/>
    <w:uiPriority w:val="11"/>
    <w:rsid w:val="00DB5781"/>
    <w:rPr>
      <w:rFonts w:eastAsiaTheme="minorEastAsia"/>
      <w:color w:val="385623" w:themeColor="accent6" w:themeShade="80"/>
      <w:spacing w:val="15"/>
    </w:rPr>
  </w:style>
  <w:style w:type="character" w:styleId="Lienhypertexte">
    <w:name w:val="Hyperlink"/>
    <w:basedOn w:val="Policepardfaut"/>
    <w:uiPriority w:val="99"/>
    <w:unhideWhenUsed/>
    <w:rsid w:val="00D63BD1"/>
    <w:rPr>
      <w:color w:val="0563C1" w:themeColor="hyperlink"/>
      <w:u w:val="single"/>
    </w:rPr>
  </w:style>
  <w:style w:type="table" w:styleId="Grilledutableau">
    <w:name w:val="Table Grid"/>
    <w:basedOn w:val="TableauNormal"/>
    <w:uiPriority w:val="39"/>
    <w:rsid w:val="00FA4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B5583"/>
    <w:rPr>
      <w:sz w:val="16"/>
      <w:szCs w:val="16"/>
    </w:rPr>
  </w:style>
  <w:style w:type="paragraph" w:styleId="Commentaire">
    <w:name w:val="annotation text"/>
    <w:basedOn w:val="Normal"/>
    <w:link w:val="CommentaireCar"/>
    <w:uiPriority w:val="99"/>
    <w:semiHidden/>
    <w:unhideWhenUsed/>
    <w:rsid w:val="005B5583"/>
    <w:pPr>
      <w:spacing w:line="240" w:lineRule="auto"/>
    </w:pPr>
    <w:rPr>
      <w:sz w:val="20"/>
      <w:szCs w:val="20"/>
    </w:rPr>
  </w:style>
  <w:style w:type="character" w:customStyle="1" w:styleId="CommentaireCar">
    <w:name w:val="Commentaire Car"/>
    <w:basedOn w:val="Policepardfaut"/>
    <w:link w:val="Commentaire"/>
    <w:uiPriority w:val="99"/>
    <w:semiHidden/>
    <w:rsid w:val="005B5583"/>
    <w:rPr>
      <w:sz w:val="20"/>
      <w:szCs w:val="20"/>
    </w:rPr>
  </w:style>
  <w:style w:type="paragraph" w:styleId="Objetducommentaire">
    <w:name w:val="annotation subject"/>
    <w:basedOn w:val="Commentaire"/>
    <w:next w:val="Commentaire"/>
    <w:link w:val="ObjetducommentaireCar"/>
    <w:uiPriority w:val="99"/>
    <w:semiHidden/>
    <w:unhideWhenUsed/>
    <w:rsid w:val="005B5583"/>
    <w:rPr>
      <w:b/>
      <w:bCs/>
    </w:rPr>
  </w:style>
  <w:style w:type="character" w:customStyle="1" w:styleId="ObjetducommentaireCar">
    <w:name w:val="Objet du commentaire Car"/>
    <w:basedOn w:val="CommentaireCar"/>
    <w:link w:val="Objetducommentaire"/>
    <w:uiPriority w:val="99"/>
    <w:semiHidden/>
    <w:rsid w:val="005B5583"/>
    <w:rPr>
      <w:b/>
      <w:bCs/>
      <w:sz w:val="20"/>
      <w:szCs w:val="20"/>
    </w:rPr>
  </w:style>
  <w:style w:type="paragraph" w:styleId="Textedebulles">
    <w:name w:val="Balloon Text"/>
    <w:basedOn w:val="Normal"/>
    <w:link w:val="TextedebullesCar"/>
    <w:uiPriority w:val="99"/>
    <w:semiHidden/>
    <w:unhideWhenUsed/>
    <w:rsid w:val="005B55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5583"/>
    <w:rPr>
      <w:rFonts w:ascii="Segoe UI" w:hAnsi="Segoe UI" w:cs="Segoe UI"/>
      <w:sz w:val="18"/>
      <w:szCs w:val="18"/>
    </w:rPr>
  </w:style>
  <w:style w:type="paragraph" w:styleId="Notedebasdepage">
    <w:name w:val="footnote text"/>
    <w:basedOn w:val="Normal"/>
    <w:link w:val="NotedebasdepageCar"/>
    <w:uiPriority w:val="99"/>
    <w:semiHidden/>
    <w:unhideWhenUsed/>
    <w:rsid w:val="002A1D0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A1D03"/>
    <w:rPr>
      <w:sz w:val="20"/>
      <w:szCs w:val="20"/>
    </w:rPr>
  </w:style>
  <w:style w:type="character" w:styleId="Appelnotedebasdep">
    <w:name w:val="footnote reference"/>
    <w:basedOn w:val="Policepardfaut"/>
    <w:uiPriority w:val="99"/>
    <w:semiHidden/>
    <w:unhideWhenUsed/>
    <w:rsid w:val="002A1D03"/>
    <w:rPr>
      <w:vertAlign w:val="superscript"/>
    </w:rPr>
  </w:style>
  <w:style w:type="paragraph" w:styleId="En-tte">
    <w:name w:val="header"/>
    <w:basedOn w:val="Normal"/>
    <w:link w:val="En-tteCar"/>
    <w:uiPriority w:val="99"/>
    <w:unhideWhenUsed/>
    <w:rsid w:val="00564746"/>
    <w:pPr>
      <w:tabs>
        <w:tab w:val="center" w:pos="4536"/>
        <w:tab w:val="right" w:pos="9072"/>
      </w:tabs>
      <w:spacing w:after="0" w:line="240" w:lineRule="auto"/>
    </w:pPr>
  </w:style>
  <w:style w:type="character" w:customStyle="1" w:styleId="En-tteCar">
    <w:name w:val="En-tête Car"/>
    <w:basedOn w:val="Policepardfaut"/>
    <w:link w:val="En-tte"/>
    <w:uiPriority w:val="99"/>
    <w:rsid w:val="00564746"/>
  </w:style>
  <w:style w:type="paragraph" w:styleId="Pieddepage">
    <w:name w:val="footer"/>
    <w:basedOn w:val="Normal"/>
    <w:link w:val="PieddepageCar"/>
    <w:uiPriority w:val="99"/>
    <w:unhideWhenUsed/>
    <w:rsid w:val="005647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4746"/>
  </w:style>
  <w:style w:type="character" w:styleId="Lienhypertextesuivivisit">
    <w:name w:val="FollowedHyperlink"/>
    <w:basedOn w:val="Policepardfaut"/>
    <w:uiPriority w:val="99"/>
    <w:semiHidden/>
    <w:unhideWhenUsed/>
    <w:rsid w:val="00772F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6D2A260-9578-416C-B912-96B0D9D5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1584</Words>
  <Characters>8715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WALGRAFFE Annabelle</dc:creator>
  <cp:keywords/>
  <dc:description/>
  <cp:lastModifiedBy>WALGRAFFE Annabelle</cp:lastModifiedBy>
  <cp:revision>2</cp:revision>
  <dcterms:created xsi:type="dcterms:W3CDTF">2022-09-19T11:20:00Z</dcterms:created>
  <dcterms:modified xsi:type="dcterms:W3CDTF">2022-09-19T11:20:00Z</dcterms:modified>
</cp:coreProperties>
</file>