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FBB3" w14:textId="14DCC5F4" w:rsidR="00724A16" w:rsidRPr="00724A16" w:rsidRDefault="00C4739C" w:rsidP="00724A16">
      <w:r>
        <w:t>[</w:t>
      </w:r>
      <w:r w:rsidR="00724A16">
        <w:t xml:space="preserve">Texte </w:t>
      </w:r>
      <w:proofErr w:type="spellStart"/>
      <w:r w:rsidR="00724A16">
        <w:t>rt</w:t>
      </w:r>
      <w:proofErr w:type="spellEnd"/>
      <w:r w:rsidR="00724A16">
        <w:t>-bâtiment</w:t>
      </w:r>
      <w:r>
        <w:t>]</w:t>
      </w:r>
      <w:r w:rsidR="004F4A46">
        <w:t xml:space="preserve"> – </w:t>
      </w:r>
      <w:r w:rsidR="00004BA1">
        <w:t>20 juin</w:t>
      </w:r>
      <w:r w:rsidR="000262D4">
        <w:t xml:space="preserve"> 2022</w:t>
      </w:r>
    </w:p>
    <w:p w14:paraId="6C08FA6D" w14:textId="77777777" w:rsidR="00506C98" w:rsidRDefault="00506C98" w:rsidP="00724A16">
      <w:pPr>
        <w:jc w:val="both"/>
        <w:rPr>
          <w:b/>
        </w:rPr>
        <w:sectPr w:rsidR="00506C98">
          <w:pgSz w:w="11906" w:h="16838"/>
          <w:pgMar w:top="1417" w:right="1417" w:bottom="1417" w:left="1417" w:header="708" w:footer="708" w:gutter="0"/>
          <w:cols w:space="708"/>
          <w:docGrid w:linePitch="360"/>
        </w:sectPr>
      </w:pPr>
    </w:p>
    <w:p w14:paraId="4F66DD37" w14:textId="262F19D9" w:rsidR="00724A16" w:rsidRDefault="00F52890" w:rsidP="005469D4">
      <w:pPr>
        <w:pStyle w:val="Titre"/>
        <w:rPr>
          <w:color w:val="2E74B5" w:themeColor="accent1" w:themeShade="BF"/>
          <w:sz w:val="48"/>
          <w:szCs w:val="48"/>
        </w:rPr>
      </w:pPr>
      <w:r w:rsidRPr="00474866">
        <w:rPr>
          <w:color w:val="2E74B5" w:themeColor="accent1" w:themeShade="BF"/>
          <w:sz w:val="48"/>
          <w:szCs w:val="48"/>
        </w:rPr>
        <w:t xml:space="preserve">COMMENT ETRE </w:t>
      </w:r>
      <w:r w:rsidR="00CC7DFE" w:rsidRPr="00474866">
        <w:rPr>
          <w:color w:val="2E74B5" w:themeColor="accent1" w:themeShade="BF"/>
          <w:sz w:val="48"/>
          <w:szCs w:val="48"/>
        </w:rPr>
        <w:t xml:space="preserve">EVALUATEUR </w:t>
      </w:r>
      <w:r w:rsidRPr="00474866">
        <w:rPr>
          <w:color w:val="2E74B5" w:themeColor="accent1" w:themeShade="BF"/>
          <w:sz w:val="48"/>
          <w:szCs w:val="48"/>
        </w:rPr>
        <w:t>SRI ?</w:t>
      </w:r>
    </w:p>
    <w:p w14:paraId="77FF4EE1" w14:textId="77777777" w:rsidR="00612835" w:rsidRPr="00252A33" w:rsidRDefault="00612835" w:rsidP="00252A33"/>
    <w:p w14:paraId="07D34596" w14:textId="06E0F0D1" w:rsidR="00A60967" w:rsidRDefault="008E4143" w:rsidP="00724A16">
      <w:pPr>
        <w:jc w:val="both"/>
      </w:pPr>
      <w:r>
        <w:rPr>
          <w:noProof/>
          <w:lang w:eastAsia="fr-FR"/>
        </w:rPr>
        <w:t>L’expérimentation d’initiative européenne repose sur deux textes d’application européens</w:t>
      </w:r>
      <w:r w:rsidR="00CC7DFE">
        <w:rPr>
          <w:noProof/>
          <w:lang w:eastAsia="fr-FR"/>
        </w:rPr>
        <w:t> :</w:t>
      </w:r>
      <w:r w:rsidR="009857D1">
        <w:rPr>
          <w:noProof/>
          <w:lang w:eastAsia="fr-FR"/>
        </w:rPr>
        <w:t xml:space="preserve"> </w:t>
      </w:r>
      <w:r w:rsidR="00CC7DFE">
        <w:rPr>
          <w:noProof/>
          <w:lang w:eastAsia="fr-FR"/>
        </w:rPr>
        <w:t>l</w:t>
      </w:r>
      <w:r w:rsidR="009857D1">
        <w:rPr>
          <w:noProof/>
          <w:lang w:eastAsia="fr-FR"/>
        </w:rPr>
        <w:t xml:space="preserve">e règlement d’exécution </w:t>
      </w:r>
      <w:r w:rsidR="007874C3">
        <w:rPr>
          <w:noProof/>
          <w:lang w:eastAsia="fr-FR"/>
        </w:rPr>
        <w:t>(UE)</w:t>
      </w:r>
      <w:r w:rsidR="009857D1">
        <w:rPr>
          <w:noProof/>
          <w:lang w:eastAsia="fr-FR"/>
        </w:rPr>
        <w:t xml:space="preserve"> 2020/2156,  </w:t>
      </w:r>
      <w:r w:rsidR="009857D1" w:rsidRPr="009857D1">
        <w:rPr>
          <w:noProof/>
          <w:lang w:eastAsia="fr-FR"/>
        </w:rPr>
        <w:t xml:space="preserve">précisant les modalités techniques pour la mise en </w:t>
      </w:r>
      <w:r w:rsidR="009857D1">
        <w:rPr>
          <w:noProof/>
          <w:lang w:eastAsia="fr-FR"/>
        </w:rPr>
        <w:t>œuvre de la phase test SRI</w:t>
      </w:r>
      <w:r w:rsidR="00CC7DFE">
        <w:rPr>
          <w:noProof/>
          <w:lang w:eastAsia="fr-FR"/>
        </w:rPr>
        <w:t xml:space="preserve"> et</w:t>
      </w:r>
      <w:r w:rsidR="000262D4">
        <w:rPr>
          <w:noProof/>
          <w:lang w:eastAsia="fr-FR"/>
        </w:rPr>
        <w:t xml:space="preserve"> l</w:t>
      </w:r>
      <w:r w:rsidR="009857D1">
        <w:rPr>
          <w:noProof/>
          <w:lang w:eastAsia="fr-FR"/>
        </w:rPr>
        <w:t>e règlement délégué</w:t>
      </w:r>
      <w:r w:rsidR="00A17EA6">
        <w:t xml:space="preserve"> </w:t>
      </w:r>
      <w:r w:rsidR="007874C3">
        <w:t xml:space="preserve">(UE) </w:t>
      </w:r>
      <w:r w:rsidR="009857D1">
        <w:t>2020/2155</w:t>
      </w:r>
      <w:r w:rsidR="007874C3">
        <w:t>.</w:t>
      </w:r>
      <w:r w:rsidR="009857D1">
        <w:t xml:space="preserve"> </w:t>
      </w:r>
    </w:p>
    <w:p w14:paraId="552CCE68" w14:textId="6C27FBFC" w:rsidR="00FE4CF9" w:rsidRDefault="008E4143" w:rsidP="00724A16">
      <w:pPr>
        <w:jc w:val="both"/>
      </w:pPr>
      <w:r>
        <w:t>L’article 3 d</w:t>
      </w:r>
      <w:r w:rsidR="007874C3">
        <w:t>u règlement</w:t>
      </w:r>
      <w:r>
        <w:t xml:space="preserve"> </w:t>
      </w:r>
      <w:r w:rsidR="007874C3">
        <w:t xml:space="preserve">d’exécution (UE) </w:t>
      </w:r>
      <w:r>
        <w:t xml:space="preserve">2020/2156 reconnaît la qualification </w:t>
      </w:r>
      <w:r w:rsidR="00B54053">
        <w:t>d</w:t>
      </w:r>
      <w:r>
        <w:t>es professions suivantes :</w:t>
      </w:r>
    </w:p>
    <w:p w14:paraId="26F107EA" w14:textId="418E22C9" w:rsidR="00292D74" w:rsidRDefault="008E4143" w:rsidP="00724A16">
      <w:pPr>
        <w:jc w:val="both"/>
      </w:pPr>
      <w:r>
        <w:t>« </w:t>
      </w:r>
      <w:r w:rsidR="00292D74" w:rsidRPr="00292D74">
        <w:t>Article 3 Agrément et qualification des experts de l’indicateur de potentiel d’intelligence</w:t>
      </w:r>
    </w:p>
    <w:p w14:paraId="14065750" w14:textId="3842B877" w:rsidR="00292D74" w:rsidRPr="002B03F8" w:rsidRDefault="00292D74" w:rsidP="00724A16">
      <w:pPr>
        <w:jc w:val="both"/>
      </w:pPr>
      <w:r w:rsidRPr="00292D74">
        <w:t>1.</w:t>
      </w:r>
      <w:r w:rsidR="00AB3503">
        <w:t xml:space="preserve"> </w:t>
      </w:r>
      <w:r w:rsidRPr="00252A33">
        <w:t xml:space="preserve">Les États membres qui optent pour la mise en </w:t>
      </w:r>
      <w:r w:rsidR="009524BA" w:rsidRPr="00252A33">
        <w:t>œuvre</w:t>
      </w:r>
      <w:r w:rsidRPr="00252A33">
        <w:t xml:space="preserve"> du système d’indicateur de potentiel d’intelligence peuvent décider que </w:t>
      </w:r>
      <w:r w:rsidRPr="00252A33">
        <w:rPr>
          <w:b/>
        </w:rPr>
        <w:t>les experts agréés ou qualifiés pour la délivrance de certificats de performance énergétique</w:t>
      </w:r>
      <w:r w:rsidR="00CC7DFE" w:rsidRPr="00252A33">
        <w:rPr>
          <w:rStyle w:val="Appelnotedebasdep"/>
          <w:b/>
        </w:rPr>
        <w:footnoteReference w:id="1"/>
      </w:r>
      <w:r w:rsidRPr="00252A33">
        <w:rPr>
          <w:b/>
        </w:rPr>
        <w:t>, ou pour l’inspection des systèmes de chauffage, climatisation, chauffage et ventilation combinés, climatisation et ventilation combinés, e</w:t>
      </w:r>
      <w:r w:rsidRPr="00252A33">
        <w:t xml:space="preserve">n vertu de la directive 2010/31/UE, ou pour la </w:t>
      </w:r>
      <w:r w:rsidRPr="00252A33">
        <w:rPr>
          <w:b/>
        </w:rPr>
        <w:t>réalisation d’audits énergétiques</w:t>
      </w:r>
      <w:r w:rsidRPr="00252A33">
        <w:t xml:space="preserve"> au titre de la directive 2012/27/UE, sont également compétents pour délivrer des certificats relatifs à l’indicateur de potentiel d’intelligence. Dans ce cas, les États membres peuvent décider de fixer des exigences supplémentaires auxquelles ces experts doivent satisfaire pour pouvoir délivrer de tels certificats, notamment en ce qui concerne leur formation.</w:t>
      </w:r>
    </w:p>
    <w:p w14:paraId="5633BD95" w14:textId="3A01E0E1" w:rsidR="00292D74" w:rsidRPr="00252A33" w:rsidRDefault="00292D74" w:rsidP="00724A16">
      <w:pPr>
        <w:jc w:val="both"/>
      </w:pPr>
      <w:r w:rsidRPr="002B03F8">
        <w:t>2.</w:t>
      </w:r>
      <w:r w:rsidR="00AB3503" w:rsidRPr="002B03F8">
        <w:t xml:space="preserve"> </w:t>
      </w:r>
      <w:r w:rsidRPr="00252A33">
        <w:t xml:space="preserve">Les États membres mettent à la disposition du public des informations sur les qualifications des experts chargés de l’évaluation du potentiel d’intelligence. </w:t>
      </w:r>
    </w:p>
    <w:p w14:paraId="68667F6B" w14:textId="77777777" w:rsidR="002F43E8" w:rsidRDefault="00292D74" w:rsidP="00252A33">
      <w:pPr>
        <w:jc w:val="both"/>
      </w:pPr>
      <w:r w:rsidRPr="002B03F8">
        <w:t>3.</w:t>
      </w:r>
      <w:r w:rsidR="00AB3503" w:rsidRPr="002B03F8">
        <w:t xml:space="preserve"> </w:t>
      </w:r>
      <w:r w:rsidRPr="00252A33">
        <w:t xml:space="preserve">Le cas échéant, les États membres peuvent mettre à la disposition du public soit des listes </w:t>
      </w:r>
    </w:p>
    <w:p w14:paraId="292606F7" w14:textId="77777777" w:rsidR="002F43E8" w:rsidRDefault="002F43E8" w:rsidP="00252A33">
      <w:pPr>
        <w:jc w:val="both"/>
      </w:pPr>
    </w:p>
    <w:p w14:paraId="3A5FFF5D" w14:textId="77777777" w:rsidR="002F43E8" w:rsidRDefault="002F43E8" w:rsidP="00252A33">
      <w:pPr>
        <w:jc w:val="both"/>
      </w:pPr>
    </w:p>
    <w:p w14:paraId="62D0EDE0" w14:textId="77777777" w:rsidR="002F43E8" w:rsidRDefault="002F43E8" w:rsidP="00252A33">
      <w:pPr>
        <w:jc w:val="both"/>
      </w:pPr>
    </w:p>
    <w:p w14:paraId="26245C9D" w14:textId="77777777" w:rsidR="002F43E8" w:rsidRDefault="002F43E8" w:rsidP="00252A33">
      <w:pPr>
        <w:jc w:val="both"/>
      </w:pPr>
    </w:p>
    <w:p w14:paraId="77F77A32" w14:textId="2EC3BC87" w:rsidR="0099495D" w:rsidRDefault="00292D74" w:rsidP="00252A33">
      <w:pPr>
        <w:jc w:val="both"/>
        <w:rPr>
          <w:rStyle w:val="lev"/>
          <w:b w:val="0"/>
          <w:bCs w:val="0"/>
        </w:rPr>
      </w:pPr>
      <w:proofErr w:type="gramStart"/>
      <w:r w:rsidRPr="00252A33">
        <w:t>régulièrement</w:t>
      </w:r>
      <w:proofErr w:type="gramEnd"/>
      <w:r w:rsidRPr="00252A33">
        <w:t xml:space="preserve"> mises à jour d’experts qualifiés ou</w:t>
      </w:r>
      <w:r w:rsidRPr="002B03F8">
        <w:t xml:space="preserve"> </w:t>
      </w:r>
      <w:r w:rsidRPr="00252A33">
        <w:t>agréés, soit des listes régulièrement mises à jour d’entreprises agréées proposant les services de ces experts. Les États membres peuvent utiliser à cette fin les mêmes moyens que pour les experts chargés de la certification de la performance énergétique et des inspections, visés à l’article 17 de la directive 2010/31/UE.</w:t>
      </w:r>
      <w:r w:rsidR="002B03F8" w:rsidRPr="00252A33">
        <w:t> »</w:t>
      </w:r>
      <w:r w:rsidR="00813FE4" w:rsidRPr="00813FE4">
        <w:rPr>
          <w:rStyle w:val="lev"/>
          <w:b w:val="0"/>
          <w:bCs w:val="0"/>
        </w:rPr>
        <w:t xml:space="preserve"> </w:t>
      </w:r>
    </w:p>
    <w:p w14:paraId="57847836" w14:textId="00439F7B" w:rsidR="00813FE4" w:rsidRDefault="00813FE4" w:rsidP="00252A33">
      <w:pPr>
        <w:pStyle w:val="Titre1"/>
        <w:rPr>
          <w:rStyle w:val="lev"/>
          <w:rFonts w:asciiTheme="minorHAnsi" w:eastAsiaTheme="minorHAnsi" w:hAnsiTheme="minorHAnsi" w:cstheme="minorBidi"/>
          <w:b w:val="0"/>
          <w:bCs w:val="0"/>
          <w:color w:val="auto"/>
          <w:sz w:val="22"/>
          <w:szCs w:val="22"/>
        </w:rPr>
      </w:pPr>
      <w:r w:rsidRPr="00AB3503">
        <w:rPr>
          <w:rStyle w:val="lev"/>
          <w:b w:val="0"/>
          <w:bCs w:val="0"/>
        </w:rPr>
        <w:t>A QUOI S’ENGAGE UN PROFESSIONNEL ?</w:t>
      </w:r>
    </w:p>
    <w:p w14:paraId="1004821E" w14:textId="51E82B24" w:rsidR="00813FE4" w:rsidRDefault="00813FE4" w:rsidP="00813FE4">
      <w:pPr>
        <w:jc w:val="both"/>
      </w:pPr>
      <w:r>
        <w:t>Le professionnel signe une charte l’engageant à une pratique rigoureuse de la méthode et dans laquelle il confirme être disponible pour les échanges ou retours d’expérience avec le min</w:t>
      </w:r>
      <w:r w:rsidR="00252A33">
        <w:t xml:space="preserve">istère du logement et le </w:t>
      </w:r>
      <w:proofErr w:type="spellStart"/>
      <w:r w:rsidR="00252A33">
        <w:t>Cerema</w:t>
      </w:r>
      <w:proofErr w:type="spellEnd"/>
      <w:r w:rsidR="00252A33">
        <w:t>. Echanges</w:t>
      </w:r>
      <w:r>
        <w:t xml:space="preserve"> nécessaires à l’élaboration d’une analyse fine de la méthode dans le cadre de l’expérimentation.</w:t>
      </w:r>
    </w:p>
    <w:p w14:paraId="0EBCD4A9" w14:textId="77777777" w:rsidR="00813FE4" w:rsidRPr="00813FE4" w:rsidRDefault="00813FE4" w:rsidP="00813FE4">
      <w:pPr>
        <w:keepNext/>
        <w:keepLines/>
        <w:spacing w:before="240" w:after="0"/>
        <w:outlineLvl w:val="0"/>
        <w:rPr>
          <w:rFonts w:asciiTheme="majorHAnsi" w:eastAsiaTheme="majorEastAsia" w:hAnsiTheme="majorHAnsi" w:cstheme="majorBidi"/>
          <w:bCs/>
          <w:color w:val="2E74B5" w:themeColor="accent1" w:themeShade="BF"/>
          <w:sz w:val="32"/>
          <w:szCs w:val="32"/>
        </w:rPr>
      </w:pPr>
      <w:r w:rsidRPr="00252A33">
        <w:rPr>
          <w:rFonts w:asciiTheme="majorHAnsi" w:eastAsiaTheme="majorEastAsia" w:hAnsiTheme="majorHAnsi" w:cstheme="majorBidi"/>
          <w:bCs/>
          <w:color w:val="2E74B5" w:themeColor="accent1" w:themeShade="BF"/>
          <w:sz w:val="32"/>
          <w:szCs w:val="32"/>
        </w:rPr>
        <w:t>PROCEDURE EN LIGNE</w:t>
      </w:r>
    </w:p>
    <w:p w14:paraId="7D37191A" w14:textId="74713775" w:rsidR="00813FE4" w:rsidRPr="00813FE4" w:rsidRDefault="00813FE4" w:rsidP="00813FE4">
      <w:pPr>
        <w:jc w:val="both"/>
      </w:pPr>
      <w:r w:rsidRPr="00813FE4">
        <w:t>Les professionnels désireux de participer à cette phase de test peuvent télécharger le formulaire d’inscription sur le site</w:t>
      </w:r>
      <w:r w:rsidR="00943523">
        <w:t> :</w:t>
      </w:r>
      <w:r w:rsidRPr="00813FE4">
        <w:t xml:space="preserve"> </w:t>
      </w:r>
      <w:hyperlink r:id="rId7" w:history="1">
        <w:r w:rsidR="00943523" w:rsidRPr="00AA1504">
          <w:rPr>
            <w:rStyle w:val="Lienhypertexte"/>
          </w:rPr>
          <w:t>https://www.ecologie.gouv.fr/smart-readiness-indicator-sri-lindicateur-potentiel-dintelligence-des-batiments</w:t>
        </w:r>
      </w:hyperlink>
      <w:r w:rsidR="00943523">
        <w:t xml:space="preserve"> </w:t>
      </w:r>
      <w:bookmarkStart w:id="0" w:name="_GoBack"/>
      <w:bookmarkEnd w:id="0"/>
      <w:r w:rsidRPr="00813FE4">
        <w:t>et le transmettre accompagné de la p</w:t>
      </w:r>
      <w:r w:rsidR="00677141">
        <w:t>ièce justifiant leur compétence.</w:t>
      </w:r>
    </w:p>
    <w:p w14:paraId="34554FE3" w14:textId="58AF5322" w:rsidR="008E4143" w:rsidRDefault="008E4143" w:rsidP="00724A16">
      <w:pPr>
        <w:jc w:val="both"/>
      </w:pPr>
    </w:p>
    <w:p w14:paraId="4E96F65B" w14:textId="144C640D" w:rsidR="00CB19AF" w:rsidRPr="00BC5801" w:rsidRDefault="00813FE4" w:rsidP="00252A33">
      <w:pPr>
        <w:keepNext/>
        <w:keepLines/>
        <w:spacing w:before="240" w:after="0"/>
        <w:outlineLvl w:val="0"/>
      </w:pPr>
      <w:r>
        <w:rPr>
          <w:rStyle w:val="lev"/>
          <w:b w:val="0"/>
        </w:rPr>
        <w:br w:type="column"/>
      </w:r>
      <w:r w:rsidRPr="00813FE4">
        <w:rPr>
          <w:rFonts w:asciiTheme="majorHAnsi" w:eastAsiaTheme="minorEastAsia" w:hAnsiTheme="majorHAnsi" w:cstheme="majorBidi"/>
          <w:noProof/>
          <w:color w:val="2E74B5" w:themeColor="accent1" w:themeShade="BF"/>
          <w:sz w:val="32"/>
          <w:szCs w:val="32"/>
          <w:lang w:eastAsia="fr-FR"/>
        </w:rPr>
        <w:lastRenderedPageBreak/>
        <mc:AlternateContent>
          <mc:Choice Requires="wps">
            <w:drawing>
              <wp:anchor distT="0" distB="0" distL="114300" distR="114300" simplePos="0" relativeHeight="251663360" behindDoc="1" locked="0" layoutInCell="1" allowOverlap="1" wp14:anchorId="4E389EA1" wp14:editId="3B5D0482">
                <wp:simplePos x="0" y="0"/>
                <wp:positionH relativeFrom="margin">
                  <wp:align>left</wp:align>
                </wp:positionH>
                <wp:positionV relativeFrom="paragraph">
                  <wp:posOffset>669376</wp:posOffset>
                </wp:positionV>
                <wp:extent cx="5588635" cy="3467735"/>
                <wp:effectExtent l="0" t="0" r="12065" b="18415"/>
                <wp:wrapTight wrapText="bothSides">
                  <wp:wrapPolygon edited="0">
                    <wp:start x="0" y="0"/>
                    <wp:lineTo x="0" y="21596"/>
                    <wp:lineTo x="21573" y="21596"/>
                    <wp:lineTo x="21573"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5588635" cy="3467735"/>
                        </a:xfrm>
                        <a:prstGeom prst="rect">
                          <a:avLst/>
                        </a:prstGeom>
                        <a:solidFill>
                          <a:sysClr val="window" lastClr="FFFFFF"/>
                        </a:solidFill>
                        <a:ln w="6350">
                          <a:solidFill>
                            <a:prstClr val="black"/>
                          </a:solidFill>
                        </a:ln>
                      </wps:spPr>
                      <wps:txbx>
                        <w:txbxContent>
                          <w:p w14:paraId="3F8B31A8" w14:textId="77777777" w:rsidR="00813FE4" w:rsidRDefault="00813FE4" w:rsidP="00813FE4">
                            <w:r w:rsidRPr="002D0F8B">
                              <w:rPr>
                                <w:noProof/>
                                <w:lang w:eastAsia="fr-FR"/>
                              </w:rPr>
                              <w:drawing>
                                <wp:inline distT="0" distB="0" distL="0" distR="0" wp14:anchorId="25FC3D2F" wp14:editId="58C3E992">
                                  <wp:extent cx="5321643" cy="2971544"/>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954" cy="2991820"/>
                                          </a:xfrm>
                                          <a:prstGeom prst="rect">
                                            <a:avLst/>
                                          </a:prstGeom>
                                          <a:noFill/>
                                          <a:ln>
                                            <a:noFill/>
                                          </a:ln>
                                        </pic:spPr>
                                      </pic:pic>
                                    </a:graphicData>
                                  </a:graphic>
                                </wp:inline>
                              </w:drawing>
                            </w:r>
                          </w:p>
                          <w:p w14:paraId="59FCCEEC" w14:textId="77777777" w:rsidR="00813FE4" w:rsidRPr="00161654" w:rsidRDefault="00813FE4" w:rsidP="00813FE4">
                            <w:pPr>
                              <w:rPr>
                                <w:i/>
                                <w:sz w:val="18"/>
                                <w:szCs w:val="18"/>
                              </w:rPr>
                            </w:pPr>
                            <w:r>
                              <w:rPr>
                                <w:i/>
                                <w:sz w:val="18"/>
                                <w:szCs w:val="18"/>
                              </w:rPr>
                              <w:t xml:space="preserve">Procédure de validation – DHUP / </w:t>
                            </w:r>
                            <w:proofErr w:type="spellStart"/>
                            <w:r>
                              <w:rPr>
                                <w:i/>
                                <w:sz w:val="18"/>
                                <w:szCs w:val="18"/>
                              </w:rPr>
                              <w:t>Cerema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9EA1" id="Zone de texte 2" o:spid="_x0000_s1027" type="#_x0000_t202" style="position:absolute;margin-left:0;margin-top:52.7pt;width:440.05pt;height:273.0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" fillcolor="window" strokeweight=".5pt">
                <v:textbox>
                  <w:txbxContent>
                    <w:p w14:paraId="3F8B31A8" w14:textId="77777777" w:rsidR="00813FE4" w:rsidRDefault="00813FE4" w:rsidP="00813FE4">
                      <w:r w:rsidRPr="002D0F8B">
                        <w:rPr>
                          <w:noProof/>
                          <w:lang w:eastAsia="fr-FR"/>
                        </w:rPr>
                        <w:drawing>
                          <wp:inline distT="0" distB="0" distL="0" distR="0" wp14:anchorId="25FC3D2F" wp14:editId="58C3E992">
                            <wp:extent cx="5321643" cy="2971544"/>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7954" cy="2991820"/>
                                    </a:xfrm>
                                    <a:prstGeom prst="rect">
                                      <a:avLst/>
                                    </a:prstGeom>
                                    <a:noFill/>
                                    <a:ln>
                                      <a:noFill/>
                                    </a:ln>
                                  </pic:spPr>
                                </pic:pic>
                              </a:graphicData>
                            </a:graphic>
                          </wp:inline>
                        </w:drawing>
                      </w:r>
                    </w:p>
                    <w:p w14:paraId="59FCCEEC" w14:textId="77777777" w:rsidR="00813FE4" w:rsidRPr="00161654" w:rsidRDefault="00813FE4" w:rsidP="00813FE4">
                      <w:pPr>
                        <w:rPr>
                          <w:i/>
                          <w:sz w:val="18"/>
                          <w:szCs w:val="18"/>
                        </w:rPr>
                      </w:pPr>
                      <w:r>
                        <w:rPr>
                          <w:i/>
                          <w:sz w:val="18"/>
                          <w:szCs w:val="18"/>
                        </w:rPr>
                        <w:t xml:space="preserve">Procédure de validation – DHUP / </w:t>
                      </w:r>
                      <w:proofErr w:type="spellStart"/>
                      <w:r>
                        <w:rPr>
                          <w:i/>
                          <w:sz w:val="18"/>
                          <w:szCs w:val="18"/>
                        </w:rPr>
                        <w:t>Cerema</w:t>
                      </w:r>
                      <w:proofErr w:type="spellEnd"/>
                    </w:p>
                  </w:txbxContent>
                </v:textbox>
                <w10:wrap type="tight" anchorx="margin"/>
              </v:shape>
            </w:pict>
          </mc:Fallback>
        </mc:AlternateContent>
      </w:r>
    </w:p>
    <w:sectPr w:rsidR="00CB19AF" w:rsidRPr="00BC5801" w:rsidSect="00CB19AF">
      <w:type w:val="continuous"/>
      <w:pgSz w:w="11906" w:h="16838"/>
      <w:pgMar w:top="1417" w:right="1417" w:bottom="1417" w:left="141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B1DE" w14:textId="77777777" w:rsidR="00897704" w:rsidRDefault="00897704" w:rsidP="00CC7DFE">
      <w:pPr>
        <w:spacing w:after="0" w:line="240" w:lineRule="auto"/>
      </w:pPr>
      <w:r>
        <w:separator/>
      </w:r>
    </w:p>
  </w:endnote>
  <w:endnote w:type="continuationSeparator" w:id="0">
    <w:p w14:paraId="0B567882" w14:textId="77777777" w:rsidR="00897704" w:rsidRDefault="00897704" w:rsidP="00CC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ED8A" w14:textId="77777777" w:rsidR="00897704" w:rsidRDefault="00897704" w:rsidP="00CC7DFE">
      <w:pPr>
        <w:spacing w:after="0" w:line="240" w:lineRule="auto"/>
      </w:pPr>
      <w:r>
        <w:separator/>
      </w:r>
    </w:p>
  </w:footnote>
  <w:footnote w:type="continuationSeparator" w:id="0">
    <w:p w14:paraId="12AFE4CB" w14:textId="77777777" w:rsidR="00897704" w:rsidRDefault="00897704" w:rsidP="00CC7DFE">
      <w:pPr>
        <w:spacing w:after="0" w:line="240" w:lineRule="auto"/>
      </w:pPr>
      <w:r>
        <w:continuationSeparator/>
      </w:r>
    </w:p>
  </w:footnote>
  <w:footnote w:id="1">
    <w:p w14:paraId="1C27861D" w14:textId="77A8AAD6" w:rsidR="00CC7DFE" w:rsidRPr="00CC7DFE" w:rsidRDefault="00CC7DFE">
      <w:pPr>
        <w:pStyle w:val="Notedebasdepage"/>
        <w:rPr>
          <w:sz w:val="18"/>
          <w:szCs w:val="18"/>
        </w:rPr>
      </w:pPr>
      <w:r>
        <w:rPr>
          <w:rStyle w:val="Appelnotedebasdep"/>
        </w:rPr>
        <w:footnoteRef/>
      </w:r>
      <w:r>
        <w:t xml:space="preserve"> </w:t>
      </w:r>
      <w:r w:rsidRPr="00CC7DFE">
        <w:rPr>
          <w:sz w:val="18"/>
          <w:szCs w:val="18"/>
        </w:rPr>
        <w:t>Correspondant au diagnostic de performance énergétique français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16"/>
    <w:rsid w:val="00004B8C"/>
    <w:rsid w:val="00004BA1"/>
    <w:rsid w:val="000262D4"/>
    <w:rsid w:val="00035FC5"/>
    <w:rsid w:val="00040295"/>
    <w:rsid w:val="00155B91"/>
    <w:rsid w:val="00161654"/>
    <w:rsid w:val="00181C2A"/>
    <w:rsid w:val="00184C09"/>
    <w:rsid w:val="001A4BE5"/>
    <w:rsid w:val="001C0B32"/>
    <w:rsid w:val="001C610E"/>
    <w:rsid w:val="00212BB8"/>
    <w:rsid w:val="002417A0"/>
    <w:rsid w:val="00241A6D"/>
    <w:rsid w:val="00252A33"/>
    <w:rsid w:val="00267CFF"/>
    <w:rsid w:val="00292D74"/>
    <w:rsid w:val="002B03F8"/>
    <w:rsid w:val="002C485D"/>
    <w:rsid w:val="002D0F8B"/>
    <w:rsid w:val="002F3A38"/>
    <w:rsid w:val="002F43E8"/>
    <w:rsid w:val="00313BA6"/>
    <w:rsid w:val="00333586"/>
    <w:rsid w:val="003456C0"/>
    <w:rsid w:val="003517B5"/>
    <w:rsid w:val="0036540B"/>
    <w:rsid w:val="003912D6"/>
    <w:rsid w:val="003C1873"/>
    <w:rsid w:val="003E64CF"/>
    <w:rsid w:val="003F693C"/>
    <w:rsid w:val="00417AF1"/>
    <w:rsid w:val="00426441"/>
    <w:rsid w:val="004672F5"/>
    <w:rsid w:val="00473FD8"/>
    <w:rsid w:val="00474866"/>
    <w:rsid w:val="00475219"/>
    <w:rsid w:val="004D2B99"/>
    <w:rsid w:val="004F4A46"/>
    <w:rsid w:val="00506C98"/>
    <w:rsid w:val="00534C31"/>
    <w:rsid w:val="005469D4"/>
    <w:rsid w:val="005679F9"/>
    <w:rsid w:val="005707B6"/>
    <w:rsid w:val="005B6F5A"/>
    <w:rsid w:val="00612835"/>
    <w:rsid w:val="00657444"/>
    <w:rsid w:val="00677141"/>
    <w:rsid w:val="006921A1"/>
    <w:rsid w:val="006D2BA9"/>
    <w:rsid w:val="00724A16"/>
    <w:rsid w:val="00741361"/>
    <w:rsid w:val="00745374"/>
    <w:rsid w:val="00784AC1"/>
    <w:rsid w:val="007874C3"/>
    <w:rsid w:val="007B343B"/>
    <w:rsid w:val="007D372D"/>
    <w:rsid w:val="007D4EB5"/>
    <w:rsid w:val="007E3CAD"/>
    <w:rsid w:val="00813FE4"/>
    <w:rsid w:val="00897704"/>
    <w:rsid w:val="008A4074"/>
    <w:rsid w:val="008B2AE3"/>
    <w:rsid w:val="008E4143"/>
    <w:rsid w:val="00943523"/>
    <w:rsid w:val="009522CB"/>
    <w:rsid w:val="009524BA"/>
    <w:rsid w:val="009857D1"/>
    <w:rsid w:val="0099495D"/>
    <w:rsid w:val="009E02F3"/>
    <w:rsid w:val="00A17EA6"/>
    <w:rsid w:val="00A3627B"/>
    <w:rsid w:val="00A37352"/>
    <w:rsid w:val="00A60468"/>
    <w:rsid w:val="00A60967"/>
    <w:rsid w:val="00A85392"/>
    <w:rsid w:val="00A96ECD"/>
    <w:rsid w:val="00AA53E2"/>
    <w:rsid w:val="00AB3503"/>
    <w:rsid w:val="00AB56D7"/>
    <w:rsid w:val="00B129A4"/>
    <w:rsid w:val="00B54053"/>
    <w:rsid w:val="00BA2D70"/>
    <w:rsid w:val="00BC5801"/>
    <w:rsid w:val="00BE6FF3"/>
    <w:rsid w:val="00BF3861"/>
    <w:rsid w:val="00C352FF"/>
    <w:rsid w:val="00C361F3"/>
    <w:rsid w:val="00C4476D"/>
    <w:rsid w:val="00C4739C"/>
    <w:rsid w:val="00C621FF"/>
    <w:rsid w:val="00C729FB"/>
    <w:rsid w:val="00C734C8"/>
    <w:rsid w:val="00C853BD"/>
    <w:rsid w:val="00CB19AF"/>
    <w:rsid w:val="00CB66E7"/>
    <w:rsid w:val="00CC7DFE"/>
    <w:rsid w:val="00CE53A9"/>
    <w:rsid w:val="00CF0AC0"/>
    <w:rsid w:val="00CF1147"/>
    <w:rsid w:val="00CF1A7D"/>
    <w:rsid w:val="00D15C8C"/>
    <w:rsid w:val="00D9251F"/>
    <w:rsid w:val="00DF5881"/>
    <w:rsid w:val="00E16679"/>
    <w:rsid w:val="00E27804"/>
    <w:rsid w:val="00E91A64"/>
    <w:rsid w:val="00E97846"/>
    <w:rsid w:val="00EE1D32"/>
    <w:rsid w:val="00F52890"/>
    <w:rsid w:val="00F636EB"/>
    <w:rsid w:val="00F80C40"/>
    <w:rsid w:val="00F9109F"/>
    <w:rsid w:val="00FB27CC"/>
    <w:rsid w:val="00FE4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431A"/>
  <w15:chartTrackingRefBased/>
  <w15:docId w15:val="{F12265AA-7AA0-44F9-8173-AC307081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24A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24A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A1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24A16"/>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7E3CAD"/>
    <w:rPr>
      <w:color w:val="0563C1" w:themeColor="hyperlink"/>
      <w:u w:val="single"/>
    </w:rPr>
  </w:style>
  <w:style w:type="character" w:styleId="Marquedecommentaire">
    <w:name w:val="annotation reference"/>
    <w:basedOn w:val="Policepardfaut"/>
    <w:uiPriority w:val="99"/>
    <w:semiHidden/>
    <w:unhideWhenUsed/>
    <w:rsid w:val="003F693C"/>
    <w:rPr>
      <w:sz w:val="16"/>
      <w:szCs w:val="16"/>
    </w:rPr>
  </w:style>
  <w:style w:type="paragraph" w:styleId="Commentaire">
    <w:name w:val="annotation text"/>
    <w:basedOn w:val="Normal"/>
    <w:link w:val="CommentaireCar"/>
    <w:uiPriority w:val="99"/>
    <w:semiHidden/>
    <w:unhideWhenUsed/>
    <w:rsid w:val="003F693C"/>
    <w:pPr>
      <w:spacing w:line="240" w:lineRule="auto"/>
    </w:pPr>
    <w:rPr>
      <w:sz w:val="20"/>
      <w:szCs w:val="20"/>
    </w:rPr>
  </w:style>
  <w:style w:type="character" w:customStyle="1" w:styleId="CommentaireCar">
    <w:name w:val="Commentaire Car"/>
    <w:basedOn w:val="Policepardfaut"/>
    <w:link w:val="Commentaire"/>
    <w:uiPriority w:val="99"/>
    <w:semiHidden/>
    <w:rsid w:val="003F693C"/>
    <w:rPr>
      <w:sz w:val="20"/>
      <w:szCs w:val="20"/>
    </w:rPr>
  </w:style>
  <w:style w:type="paragraph" w:styleId="Objetducommentaire">
    <w:name w:val="annotation subject"/>
    <w:basedOn w:val="Commentaire"/>
    <w:next w:val="Commentaire"/>
    <w:link w:val="ObjetducommentaireCar"/>
    <w:uiPriority w:val="99"/>
    <w:semiHidden/>
    <w:unhideWhenUsed/>
    <w:rsid w:val="003F693C"/>
    <w:rPr>
      <w:b/>
      <w:bCs/>
    </w:rPr>
  </w:style>
  <w:style w:type="character" w:customStyle="1" w:styleId="ObjetducommentaireCar">
    <w:name w:val="Objet du commentaire Car"/>
    <w:basedOn w:val="CommentaireCar"/>
    <w:link w:val="Objetducommentaire"/>
    <w:uiPriority w:val="99"/>
    <w:semiHidden/>
    <w:rsid w:val="003F693C"/>
    <w:rPr>
      <w:b/>
      <w:bCs/>
      <w:sz w:val="20"/>
      <w:szCs w:val="20"/>
    </w:rPr>
  </w:style>
  <w:style w:type="paragraph" w:styleId="Textedebulles">
    <w:name w:val="Balloon Text"/>
    <w:basedOn w:val="Normal"/>
    <w:link w:val="TextedebullesCar"/>
    <w:uiPriority w:val="99"/>
    <w:semiHidden/>
    <w:unhideWhenUsed/>
    <w:rsid w:val="003F69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93C"/>
    <w:rPr>
      <w:rFonts w:ascii="Segoe UI" w:hAnsi="Segoe UI" w:cs="Segoe UI"/>
      <w:sz w:val="18"/>
      <w:szCs w:val="18"/>
    </w:rPr>
  </w:style>
  <w:style w:type="paragraph" w:styleId="Citationintense">
    <w:name w:val="Intense Quote"/>
    <w:basedOn w:val="Normal"/>
    <w:next w:val="Normal"/>
    <w:link w:val="CitationintenseCar"/>
    <w:uiPriority w:val="30"/>
    <w:qFormat/>
    <w:rsid w:val="00EE1D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E1D32"/>
    <w:rPr>
      <w:i/>
      <w:iCs/>
      <w:color w:val="5B9BD5" w:themeColor="accent1"/>
    </w:rPr>
  </w:style>
  <w:style w:type="character" w:styleId="lev">
    <w:name w:val="Strong"/>
    <w:basedOn w:val="Policepardfaut"/>
    <w:uiPriority w:val="22"/>
    <w:qFormat/>
    <w:rsid w:val="005469D4"/>
    <w:rPr>
      <w:b/>
      <w:bCs/>
    </w:rPr>
  </w:style>
  <w:style w:type="paragraph" w:styleId="Titre">
    <w:name w:val="Title"/>
    <w:basedOn w:val="Normal"/>
    <w:next w:val="Normal"/>
    <w:link w:val="TitreCar"/>
    <w:uiPriority w:val="10"/>
    <w:qFormat/>
    <w:rsid w:val="005469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69D4"/>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CC7D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7DFE"/>
    <w:rPr>
      <w:sz w:val="20"/>
      <w:szCs w:val="20"/>
    </w:rPr>
  </w:style>
  <w:style w:type="character" w:styleId="Appelnotedebasdep">
    <w:name w:val="footnote reference"/>
    <w:basedOn w:val="Policepardfaut"/>
    <w:uiPriority w:val="99"/>
    <w:semiHidden/>
    <w:unhideWhenUsed/>
    <w:rsid w:val="00CC7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ecologie.gouv.fr/smart-readiness-indicator-sri-lindicateur-potentiel-dintelligence-des-bati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5FE3DC2-DF46-4736-A711-FC35012C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WALGRAFFE Annabelle</dc:creator>
  <cp:keywords/>
  <dc:description/>
  <cp:lastModifiedBy>WALGRAFFE Annabelle</cp:lastModifiedBy>
  <cp:revision>3</cp:revision>
  <dcterms:created xsi:type="dcterms:W3CDTF">2022-09-16T14:40:00Z</dcterms:created>
  <dcterms:modified xsi:type="dcterms:W3CDTF">2022-09-16T14:43:00Z</dcterms:modified>
</cp:coreProperties>
</file>